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ATA/657/2023 vom 20. Juni 2023</w:t>
      </w:r>
    </w:p>
    <w:p>
      <w:r>
        <w:t>GE Cour de justice, 2023-06-20, FR</w:t>
      </w:r>
    </w:p>
    <w:p>
      <w:r>
        <w:rPr>
          <w:b/>
        </w:rPr>
        <w:t xml:space="preserve">Quelle: </w:t>
      </w:r>
      <w:r>
        <w:t>https://mcp.opencaselaw.ch/entscheid/ge_gerichte_ATA_657_2023</w:t>
      </w:r>
    </w:p>
    <w:p>
      <w:r>
        <w:t>FR: GE_GERICHTE ATA/657/2023 du 20 juin 2023</w:t>
      </w:r>
    </w:p>
    <w:p>
      <w:r>
        <w:t>IT: GE_GERICHTE ATA/657/2023 del 20 giugno 2023</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L’intimé remet en cause la qualité de mandataire professionnellement qualifié d’D______ et de E______.</w:t>
      </w:r>
    </w:p>
    <w:p>
      <w:r>
        <w:t>- 6/19 - A/2227/2022</w:t>
      </w:r>
    </w:p>
    <w:p>
      <w:r>
        <w:rPr>
          <w:b/>
        </w:rPr>
        <w:t>E. 2.1</w:t>
      </w:r>
    </w:p>
    <w:p>
      <w:r>
        <w:t>Les parties, à moins qu’elles ne doivent agir personnellement ou que l’urgence ne le permette pas, peuvent se faire représenter par un conjoint, un ascendant ou un descendant majeur, respectivement par un avocat ou par un MPQ pour la cause dont il s’agit (art. 9 al. 1 LPA), étant précisé que ce dernier intervient nécessairement comme défenseur de choix et ne peut être nommé d'office (arrêt du Tribunal fédéral 2C_835/2014 du 22 janvier 2015). Par cette disposition, le législateur cantonal a manifesté son intention de ne pas réserver le monopole de représentation aux avocats en matière administrative, dans la mesure où un nombre important de recours exige moins de connaissances juridiques que de qualifications techniques (MGC 1968 p. 3027 ; arrêt du Tribunal fédéral 1P.416/2004 du 28 septembre 2004 consid. 2.2). L’art. 9 LPA n’a pas pour but de permettre la représentation et l’assistance des parties par tout juriste qui n’est pas titulaire du brevet d’avocat, mais repose sur le constat que certaines personnes, qui ont des qualifications techniques dans certains domaines, sont à même de représenter avec compétence leur client dans le cadre de procédures administratives, tant contentieuses que non contentieuses (ATA/777/2019 du 16 avril 2019 consid. 2a ; ATA/65/2019 du 22 janvier 2019 ; ATA/729/2018 du 10 juillet 2018). L’aptitude à agir comme MPQ doit être examinée de cas en cas, au regard de la cause dont il s’agit ainsi que de la formation et de la pratique de celui qui entend représenter une partie à la procédure. Il convient de se montrer exigeant quant à la preuve de la qualification requise d’un mandataire aux fins de représenter une partie, dans l’intérêt bien compris de celle-ci et de la bonne administration de la justice, surtout en procédure contentieuse (ATF 125 I 166 consid. 2b/bb ; ATA/729/2018 précité). Pour recevoir cette qualification, le mandataire doit disposer de connaissances suffisantes dans le domaine du droit dans lequel il prétend être à même de représenter une partie (ATA/729/2018 précité). Comme l'a en effet jugé le Tribunal fédéral, les personnes, même juristes, qui ne bénéficient ainsi pas de la présomption de fait reconnue par la loi aux avocats quant à leur aptitude à représenter efficacement les intérêts des parties dans les procédures administratives doivent, pour se voir reconnaître la qualité de MPQ, faire état de solides connaissances dans le domaine considéré, en démontrant par exemple avoir suivi une formation particulière dans ce domaine ou avoir déjà soutenu des recours portant sur une problématique analogue. De plus, la qualité de MPQ ne doit pas être examinée selon la qualité intrinsèque du recours, mais d'après les connaissances dont son auteur peut se prévaloir dans le domaine considéré (arrêt du Tribunal fédéral 1P.416/2004 précité consid. 2.3). Le but de l’art. 9 LPA s’oppose à l’admission comme MPQ de tous les conseillers juridiques indépendants. En effet, la situation d’un juriste indépendant est différente de celle d’un juriste employé : les juristes qui se chargent de la défense des intérêts des administrés en procédure administrative agissent dans le cadre de</w:t>
      </w:r>
    </w:p>
    <w:p>
      <w:r>
        <w:t>- 7/19 - A/2227/2022 l’association, de la société, de la fiduciaire, de la société de protection juridique ou encore du syndicat qui les emploient, lesquels sont spécialisés dans un ou quelques domaines du droit, ce qui les distingue de la situation d’un conseiller juridique indépendant qui se vouerait à la défense générale des administrés. Cette différence de traitement entre un juriste indépendant et les organismes précités est également justifiée du point de vue de la protection des administrés, but visé par l’art. 9 LPA. La qualité de MPQ ne doit ainsi être donnée qu’à des personnes dont il est évident, aux yeux des administrés, qu’elles ne sont compétentes que dans le domaine du droit dont il s’agit, mais qu’elles n’ont pas les pouvoirs de représentation d’un avocat (ATA/53/2015 du 13 janvier 2015 consid. 2c ; ATA/108/2010 du 16 février 2010). La chambre de céans a nié la qualité de MPQ devant le service de la main-d'œuvre étrangère à un justiciable titulaire d’un diplôme supérieur de commerce et indiquant dans son curriculum vitae être expert fiscal, gestionnaire financier et administrateur de sociétés et agir devant l’OCIRT depuis trente-cinq ans mais sans le prouver. La même qualité a été niée à son fils qui, titulaire d’un master en droit international, n’avait pas prouvé qu’il possédait des compétences particulières. Le fait qu'il avait suivi des enseignements en relations internationales ou en droit humanitaire, ou encore qu'il avait fondé une organisation non gouvernementale active internationalement dans le domaine des droits fondamentaux, ne pouvait suppléer l'absence de formation ou d'expérience particulière en matière de droit suisse des étrangers (ATA/149/2021 du 9 février 2021 consid. 6).</w:t>
      </w:r>
    </w:p>
    <w:p>
      <w:r>
        <w:rPr>
          <w:b/>
        </w:rPr>
        <w:t>E. 2.2</w:t>
      </w:r>
    </w:p>
    <w:p>
      <w:r>
        <w:t>En l’espèce, l’OCIRT indique avoir nié la qualité de MPQ à D______ et produit un courrier du 16 janvier 2023 dans une autre procédure reprochant à celui-ci de ne pas avoir fourni les preuves de sa compétence dans le délai imparti. Dans la réplique du recourant dans la présente procédure, D______ indique être licencié en droit international, chercheur en droit international comparé à l’université d’Urbino et doctorant. Il n’indique pas ni ne documente quelle université lui aurait délivré sa licence en droit international. Cela étant, la titularité d’une licence en droit ne constitue pas une preuve de compétence dans le domaine spécifique du droit des étrangers. Un doctorat sur le droit au mariage des migrants en séjour irrégulier en Suisse au regard de la Convention européenne des droits de l’homme se rapproche déjà plus du domaine de compétence examiné. Le recourant n’apparait cependant pas dans la liste des chercheurs l’université d’Urbino accessible en ligne et consultée le 9 juin 2023 (https://www.uniurb.it/ateneo /persone-e-strutture/persone/ricercatori). F______, qu’il qualifie de professeure, et qui dirigerait sa thèse, apparait quant à elle en qualité de « conseillère juridique, droit italien » sur le site de l’ISDC consulté en ligne le 9 juin 2023 (https://www.isdc.ch/fr/isdc/equipe).</w:t>
      </w:r>
    </w:p>
    <w:p>
      <w:r>
        <w:t>- 8/19 - A/2227/2022 E______ se présente sur son site internet (https://www.migrant-arcenciel.ch/a- propos) comme « un cabinet de consultation et d’assistance juridique pour étrangers […] sous forme d'une association […] indépendante, apolitique et non confessionnelle, entre logique caritative et zèle humanitaire [ayant pour but] l’intégration des étrangers par le conseil et l’assistance juridique ainsi que toutes les activités connexes autorisées par le droit positif suisse ou du pays d’activité. Cette fonction de mandataires est prévue par la loi et supplée aux services d’avocats dont, faute de moyens financiers ou de confiance (pour l'assistance gratuite-publique), les requérants ne peuvent bénéficier ou se fier [et qui] traite de l'entrée, de la présence et du séjour des ressortissants étrangers en Suisse : le régime ordinaire, le régime spécial des Accords sur la libre circulation des personnes (ALCP), le régime spécial de l'asile ainsi que le régime de la nationalité des ressortissants étrangers [et] intervient de temps en temps dans d'autres branches du droit, pour autant qu'elles aient un lien avec le statut d'étranger. [Elle] aborde et satisfait en plusieurs langues les questions concernant la procédure d’asile (conseils, orientations, rédaction des recours pour les requérants confrontés à un refus d'asile, une non-entrée en matière ou des mesures de contraintes), l’assistance juridique aux mineurs non accompagnés, la préparation des audiences et si nécessaire, notre présence lors de ces audiences, les correspondances avec l’administration de l’asile ou de la migration (présentation des pièces justificatives, prise de position, etc.), la traduction et l’interprétation des décisions administratives et judiciaires, le conseil à l’aide au retour ». D______ et l’ASSOCIATION E______ apparaissent comme mandataires dans une procédure d’asile s’étant conclue devant le Tribunal administratif fédéral (ci- après : TAF) par un arrêt E-4309/2021 du 19 octobre 2021 déclarant le recours manifestement infondé et observant que son auteur se livrait « à une vague contestation, à peine discernable » de l’appréciation de l’autorité. Un autre recours qu’ils ont rédigé contre un refus de réexamen d’une demande d’asile a été rejeté par arrêt E-4240/2022 du 15 novembre 2022, dans lequel le TAF a relevé qu'au regard de l'historique procédural, s'agissant en l'occurrence de la quatrième demande déposée en procédure extraordinaire et de la troisième demande de réexamen, ainsi qu'en raison de l'absence de contestation valable dans le recours – le recourant ayant présenté une écriture « particulièrement indigente » et « grossièrement dénuée de chances de succès » – l'acte relevait à l'évidence d'un comportement téméraire du mandataire de l'intéressé et que celui-ci, spécialiste du droit de l'asile et rompu aux procédures devant le TAF, ne pouvait ignorer de bonne foi le caractère téméraire et vain, frôlant le caractère abusif, de la démarche initiée pour son mandant. Ils ont enfin rédigé un recours contre une demande de réexamen en matière d’asile, rejeté par arrêt du TAF D-411/2023 du 8 mars 2023 et considéré comme sommairement motivé, infondé, présentant de manière répétée les mêmes motivations, dépourvu de moyen de preuve, et téméraire. D______ et n’apparaissent dans aucune procédure devant le Tribunal fédéral ni dans aucune autre procédure devant le TAPI et devant la chambre de céans.</w:t>
      </w:r>
    </w:p>
    <w:p>
      <w:r>
        <w:t>- 9/19 - A/2227/2022 Compte tenu des éléments qui précèdent et faute pour D______ et l’ASSOCIATION E______ de justifier de leurs compétences en matière de droit des étrangers, leur qualité de MPQ, et partant de la recevabilité du recours, est douteuse. Celle-ci pourra toutefois demeurer sans réponse en l’espèce, le recours devant quoi qu’il en soit être rejeté, comme il sera vu plus loin.</w:t>
      </w:r>
    </w:p>
    <w:p>
      <w:r>
        <w:rPr>
          <w:b/>
        </w:rPr>
        <w:t>E. 3</w:t>
      </w:r>
    </w:p>
    <w:p>
      <w:r>
        <w:t>Le litige a pour objet le refus de l’OCPM de prolonger l’autorisation de séjour du recourant. Le recourant se plaint que le TAPI n’a pas pris en compte les violences conjugales qu’il dit avoir subies. Il n’aurait pu faire usage de son droit d’être entendu.</w:t>
      </w:r>
    </w:p>
    <w:p>
      <w:r>
        <w:rPr>
          <w:b/>
        </w:rPr>
        <w:t>E. 3.1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Ghana.</w:t>
      </w:r>
    </w:p>
    <w:p>
      <w:r>
        <w:rPr>
          <w:b/>
        </w:rPr>
        <w:t>E. 3.2</w:t>
      </w:r>
    </w:p>
    <w:p>
      <w:r>
        <w:t>Aux termes de l'art. 42 al. 1 LEI, le conjoint étranger d’un ressortissant suisse a droit à l’octroi d’une autorisation de séjour et à la prolongation de sa durée de validité, à condition de vivre en ménage commun avec lui.</w:t>
      </w:r>
    </w:p>
    <w:p>
      <w:r>
        <w:rPr>
          <w:b/>
        </w:rPr>
        <w:t>E. 3.3</w:t>
      </w:r>
    </w:p>
    <w:p>
      <w:r>
        <w:t>Aux termes de l'art. 50 al. 1 let. a LEI, après dissolution de la famille, le droit du conjoint à l'octroi d'une autorisation de séjour et à la prolongation de sa durée de validité en vertu notamment de l'art. 42 LEI subsiste lorsque l'union conjugale a duré au moins trois ans et que l'intégration est réussie (art. 50 al. 1 let. a LEI).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Il n'est pas nécessaire d'examiner la condition de la réussite de l'intégration lorsque l'union conjugale a duré moins de trois ans, les deux conditions étant cumulatives (arrêt du Tribunal fédéral 2C_352/2014 du 18 mars 2015 consid. 4 ; ATA/1091/2018 du 16 octobre 2018 consid. 5a).</w:t>
      </w:r>
    </w:p>
    <w:p>
      <w:r>
        <w:rPr>
          <w:b/>
        </w:rPr>
        <w:t>E. 3.4</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w:t>
      </w:r>
    </w:p>
    <w:p>
      <w:r>
        <w:t>- 10/19 - A/2227/2022 réintégration sociale dans le pays de provenance semble fortement compromise (art. 50 al. 2 LEI). 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 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 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 2C_12/2018 du 28 novembre 2018 consid. 3.19).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 arrêts du Tribunal fédéral 2C_12/2018 précité consid. 3.2 ; 2C_401/2018 du 17 septembre 2018 consid. 4.2).</w:t>
      </w:r>
    </w:p>
    <w:p>
      <w:r>
        <w:rPr>
          <w:b/>
        </w:rPr>
        <w:t>E. 3.5</w:t>
      </w:r>
    </w:p>
    <w:p>
      <w:r>
        <w:t>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légitime en rien la violence conjugale, n'importe quel conflit ou maltraitance ne saurait justifier la prolongation du séjour en Suisse,</w:t>
      </w:r>
    </w:p>
    <w:p>
      <w:r>
        <w:t>- 11/19 - A/2227/2022 car telle n'était pas la volonté du législateur (arrêt du Tribunal fédéral 2C_654/2019 du 20 août 2019 consid. 2.1), ce dernier ayant voulu réserver l'octroi d'une autorisation de séjour aux cas de violences conjugales atteignant une certaine gravité ou intensité.</w:t>
      </w:r>
    </w:p>
    <w:p>
      <w:r>
        <w:rPr>
          <w:b/>
        </w:rPr>
        <w:t>E. 3.6</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et arrêt du Tribunal fédéral 2C_68/2017 du 29 novembre 2017 consid. 5.4.1). L'art. 50 al. 2 LEI n'exige toutefois pas la preuve stricte de la maltraitance, mais se contente d'un faisceau d'indices suffisants (arrêts du Tribunal fédéral 2C_593/2019 du 11 juillet 2019 consid. 5.2 ; 2C_196/2014 du 19 mai 2014 consid. 3.4) respectivement d'un degré de vraisemblance, sur la base d'une appréciation globale de tous les éléments en présence (ATF 142 I 152 consid. 6.2 ; arrêts du Tribunal fédéral 2C_671/2017 du 29 mars 2018 consid. 2.3 et 2C_831/2018 du 27 mai 2019 consid. 4.3.1). Ainsi, selon le degré de preuve de la vraisemblance, il suffit que l'autorité estime comme plus probable la réalisation des faits allégués que la thèse contraire (arrêt du Tribunal fédéral 2C_915/2019 précité consid. 3.5). Si la violence conjugale au sens de l’al. 1 let. b et de l’art. 50 al. 2 LEI,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w:t>
      </w:r>
    </w:p>
    <w:p>
      <w:r>
        <w:rPr>
          <w:b/>
        </w:rPr>
        <w:t>E. 3.7</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 Dans sa teneur depuis le 1er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w:t>
      </w:r>
    </w:p>
    <w:p>
      <w:r>
        <w:t>- 12/19 - A/2227/2022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1er mars 2023, ch. 5.6.10 [ci-après : directives LEI] ; ATA/340/2020 du 7 avril 2020 consid. 8a).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 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3.8</w:t>
      </w:r>
    </w:p>
    <w:p>
      <w:r>
        <w:t>Tel qu'il est garanti par l'art. 29 al. 2 de la Constitution fédérale de la Confédération suisse du 18 avril 1999 (Cst. - RS 101), le droit d'être entendu comprend notamment le droit pour l'intéressé d'offrir des preuves pertinentes et</w:t>
      </w:r>
    </w:p>
    <w:p>
      <w:r>
        <w:t>- 13/19 - A/2227/2022 d'obtenir qu'il y soit donné suite (ATF 132 II 485 consid. 3.2 ; 127 I 54 consid. 2b).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3.9</w:t>
      </w:r>
    </w:p>
    <w:p>
      <w:r>
        <w:t>La procédure administrative est régie par la maxime inquisitoire, selon laquelle l'autorité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 principe n’est toutefois pas absolu ;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ATA/880/2021 du 31 août 2021 consid. 3a et les références citées).</w:t>
      </w:r>
    </w:p>
    <w:p>
      <w:r>
        <w:rPr>
          <w:b/>
        </w:rPr>
        <w:t>E. 3.10</w:t>
      </w:r>
    </w:p>
    <w:p>
      <w:r>
        <w:t>En l’espèce, il est établi que le recourant a vécu marié avec son épouse en Suisse du 6 décembre 2016 à octobre 2019, soit moins de trois ans, avant de se séparer d’elle, de sorte qu’il ne peut prétendre à la prolongation de son autorisation de séjour et qu’il n’y a donc pas lieu d’examiner s’il est bien intégré sous l’angle de l’art. 50 al. 1 let. a LEI. Le recourant fait valoir que sa belle-famille l’aurait insulté, rabaissé, aurait crié sur lui et lui aurait fait du chantage quant à un éventuel renvoi. Son épouse aurait également crié s’il n’exécutait pas les tâches ménagères et l’aurait réduit au rang de simple domestique du fait de son bas niveau d’études. Il aurait été victime de violence économique. Le recourant a allégué ces faits pour la première fois dans sa réplique au TAPI. Il ne les a pas détaillés ni illustrés de façon concrète et objective. Il n’a pas rendu vraisemblable l’existence et le caractère systématique de la maltraitance, sa durée, ainsi que les pressions subjectives qu’il aurait subies. Le certificat médical établi le 16 janvier 2023 par le docteur G______ et atteste seulement d’un état anxio- dépressif consécutif à son divorce, sans contenir aucun élément anamnestique relatif à d’éventuelles violences subies de son épouse ou de sa belle-famille, alors même que le recourant avait alors selon ses dires déjà trouvé le courage de parler.</w:t>
      </w:r>
    </w:p>
    <w:p>
      <w:r>
        <w:t>- 14/19 - A/2227/2022 Le recourant évoque encore un appel isolé à la police, sans toutefois indiquer son motif, sa date, son résultat, ni soutenir qu’il lui aurait été impossible de produire un rapport de police ou une main-courante. Il ne produit aucun certificat constatant des violences, aucune plainte pénale ni aucun témoignage écrit ou identité de témoin. Les allégations du recourant apparaissent dans ces circonstances impropres à établir ne serait-ce que la vraisemblance qu’il aurait subi des violences. C’est ainsi de manière conforme au droit que le TAPI n’a pas tenu compte de ses allégations de violences conjugales pour établir un cas d’application de l’art. 50 al. 1 let. b LEI. Compte tenu du caractère tardif de ses allégations et de ce qu’il n’a pas satisfait à son obligation de coopérer de manière accrue à l’établissement des faits, imposée par les art. 22 LPA, 77 al. 6 et al. 6 bis OASA, le recourant ne saurait reprocher au TAPI de n’avoir pas investigué les violences conjugales alléguées ni de ne pas avoir renvoyé la cause à l’OCPM à ces fins. Ni son droit d’être entendu ni la maxime inquisitoire n’ont été violés. Le grief sera écarté. Pour les mêmes motifs, il ne pourra être donné suite à la conclusion subsidiaire du recourant tendant au renvoi de la cause au TAPI pour instruction des violences conjugales alléguées.</w:t>
      </w:r>
    </w:p>
    <w:p>
      <w:r>
        <w:rPr>
          <w:b/>
        </w:rPr>
        <w:t>E. 4</w:t>
      </w:r>
    </w:p>
    <w:p>
      <w:r>
        <w:t>Le recourant se plaint encore de ce que l’application stricte de la loi au sujet de la durée de l’union conjugale produirait un résultat choquant. Il avait vécu cinq ans en concubinage mais uniquement 28 mois durant le mariage et sa volonté de fonder une communauté conjugale était effective. Il était traité de manière plus défavorable qu’une personne se mariant juste pour avoir un titre de séjour et divorçant trois ans et un jour après le mariage.</w:t>
      </w:r>
    </w:p>
    <w:p>
      <w:r>
        <w:rPr>
          <w:b/>
        </w:rPr>
        <w:t>E. 4.1</w:t>
      </w:r>
    </w:p>
    <w:p>
      <w:r>
        <w:t>Une norme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138 I 225 consid. 3.6.1 ; 138 I 265 consid. 4.1 ; 131 I 1 consid. 4.2 ; 131 I 394 consid. 4.2 ; 127 I 185 consid. 5 ; arrêt du Tribunal fédéral 8C_582/2013 du 2 mai 2014 consid. 6.2.1). La question de savoir s’il existe un motif raisonnable pour une distinction peut recevoir des réponses différentes suivant les époques et les idées dominantes. Le législateur dispose toutefois d’un large pouvoir d’appréciation</w:t>
      </w:r>
    </w:p>
    <w:p>
      <w:r>
        <w:t>- 15/19 - A/2227/2022 dans le cadre de ces principes et de l’interdiction de l’arbitraire (ATF 133 I 249 consid. 3.3 ; 131 I 1 consid. 4.2). Le Tribunal fédéral n’intervient que si, sur des points importants, les assimilations ou distinctions effectuées s’avèrent clairement injustifiées et insoutenables (ATF 136 I 297 consid. 6.1 ; 135 I 130 consid. 6.2 ; arrêts du Tribunal fédéral 2C_706/2012 du 16 avril 2013 consid. 5.1 ; 2C_491/2012 du 26 juillet 2012 consid. 5.1). Le principe de l’égalité (art. 8 Cst.) et celui de l’interdiction de l’arbitraire (art. 9 Cst.) sont étroitement liés. Une norme ou une décision est arbitraire lorsqu’elle ne repose pas sur des motifs objectifs sérieux ou si elle est dépourvue de sens et de but (ATF 136 I 241 consid. 3.1 ; arrêt du Tribunal fédéral 8C_753/2011 du 11 octobre 2012 consid. 3.2.2). L’inégalité de traitement apparaît ainsi comme une forme particulière d’arbitraire, consistant à traiter de manière inégale ce qui devrait l’être de manière semblable ou inversement (ATF 132 I 157 consid. 4.1 ; ATF 129 I 1 consid. 3 ; arrêt du Tribunal fédéral 2P.181/2006 du 28 novembre 2006 consid. 2.2).</w:t>
      </w:r>
    </w:p>
    <w:p>
      <w:r>
        <w:rPr>
          <w:b/>
        </w:rPr>
        <w:t>E. 4.2</w:t>
      </w:r>
    </w:p>
    <w:p>
      <w:r>
        <w:t>En l’espèce, la situation qu’évoque le recourant est différente de la sienne puisqu’une communauté conjugale de trois ans au moins en Suisse satisfait précisément à la première condition de l’art. 50 al. 1 let. a LEI. Il n’est en outre pas acquis qu’un étranger se mariant « juste pour avoir un titre de séjour et qui divorce 3 ans et 1 jour après le mariage et le début de la vie commune » conserve son permis, comme semble le penser le recourant, compte tenu de la condition cumulative de la réussite de l'intégration posée à l’art. 50 al. 1 let. a LEI et de la limite générale de l’abus de droit, concrétisé notamment par le motif de révocation prévu à l’art. 62 al. 1 let. a LEI. Le recourant n’établit ainsi ni inégalité de traitement ni arbitraire. Le grief sera écarté.</w:t>
      </w:r>
    </w:p>
    <w:p>
      <w:r>
        <w:rPr>
          <w:b/>
        </w:rPr>
        <w:t>E. 4.3</w:t>
      </w:r>
    </w:p>
    <w:p>
      <w:r>
        <w:t>Le recourant fait enfin valoir un prochain changement de la loi, soit l’introduction du PACS pour tous, qui rendrait la décision « obsolète ». Il perd de vue que le litige doit être jugé en application du droit actuellement en vigueur. C’est ainsi à bon droit que l’OCPM puis le TAPI ont refusé de donner suite à la demande de renouvellement de son permis de séjour formée par le recourant.</w:t>
      </w:r>
    </w:p>
    <w:p>
      <w:r>
        <w:rPr>
          <w:b/>
        </w:rPr>
        <w:t>E. 5</w:t>
      </w:r>
    </w:p>
    <w:p>
      <w:r>
        <w:t>Il reste à examiner si le renvoi du recourant est fondé.</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w:t>
      </w:r>
    </w:p>
    <w:p>
      <w:r>
        <w:t>- 16/19 - A/2227/2022 demande d'autorisation (ATA/322/2022 du 29 mars 2022 consid. 11a). Le renvoi d'une personne étrangère ne peut être ordonné que si l'exécution de celui-ci est possible, licite ou peut être raisonnablement exigée (art. 83 al. 1 LEI).</w:t>
      </w:r>
    </w:p>
    <w:p>
      <w:r>
        <w:rPr>
          <w:b/>
        </w:rPr>
        <w:t>E. 5.2</w:t>
      </w:r>
    </w:p>
    <w:p>
      <w:r>
        <w:t>En l'espèce, dès lors qu'elle a, à juste titre, refusé de renouveler l'autorisation de séjour du recourant, l'autorité intimée devait prononcer son renvoi. Pour le surplus, il ne ressort pas du dossier que l'exécution de son renvoi ne serait pas possible, licite ou ne pourrait raisonnablement être exigée. Le recourant ne le prétend d’ailleurs pas. Entièrement mal fondé, le recours sera rejeté.</w:t>
      </w:r>
    </w:p>
    <w:p>
      <w:r>
        <w:rPr>
          <w:b/>
        </w:rPr>
        <w:t>E. 6</w:t>
      </w:r>
    </w:p>
    <w:p>
      <w:r>
        <w:t>Vu l'issue du litige, un émolument de CHF 400.- sera mis à la charge du recourant (art. 87 al. 1 LPA) et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