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ATA/657/2014 vom 19. August 2014</w:t>
      </w:r>
    </w:p>
    <w:p>
      <w:r>
        <w:t>GE Cour de justice, 2014-08-19, FR</w:t>
      </w:r>
    </w:p>
    <w:p>
      <w:r>
        <w:rPr>
          <w:b/>
        </w:rPr>
        <w:t xml:space="preserve">Quelle: </w:t>
      </w:r>
      <w:r>
        <w:t>https://mcp.opencaselaw.ch/entscheid/ge_gerichte_ATA_657_2014</w:t>
      </w:r>
    </w:p>
    <w:p>
      <w:r>
        <w:t>FR: GE_GERICHTE ATA/657/2014 du 19 août 2014</w:t>
      </w:r>
    </w:p>
    <w:p>
      <w:r>
        <w:t>IT: GE_GERICHTE ATA/657/2014 del 19 agosto 2014</w:t>
      </w:r>
    </w:p>
    <w:p>
      <w:pPr>
        <w:pStyle w:val="Heading2"/>
      </w:pPr>
      <w:r>
        <w:t>Erwägungen</w:t>
      </w:r>
    </w:p>
    <w:p>
      <w:r>
        <w:rPr>
          <w:b/>
        </w:rPr>
        <w:t>E. 12</w:t>
      </w:r>
    </w:p>
    <w:p>
      <w:r>
        <w:t>septembre 1985 - LPA - E 5 10). 2)</w:t>
      </w:r>
    </w:p>
    <w:p>
      <w:r>
        <w:t>La recourante a demandé à être entendue par la chambre de céans.</w:t>
      </w:r>
    </w:p>
    <w:p>
      <w:r>
        <w:t>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2.3.2s p. 157 ; 137 I 195 consid. 2.3.1 p. 197 ; 136 I 265 consid. 3.2 p. 272 ; 135 II 286 consid. 5.1 p. 293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w:t>
      </w:r>
    </w:p>
    <w:p>
      <w:r>
        <w:t>- 5/8 - A/233/2014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w:t>
      </w:r>
    </w:p>
    <w:p>
      <w:r>
        <w:t>La procédure administrative est principalement écrite, même si une audition des parties reste possible (art. 18 LPA). En l’espèce, la recourant a pu faire valoir ses moyens de manière circonstanciée dans ses écritures de recours et a pu répliquer aux observations de l'intimé. Compte tenu des questions juridiques à résoudre, son audition ne s’impose pas et la chambre administrative y renoncera. 3)</w:t>
      </w:r>
    </w:p>
    <w:p>
      <w:r>
        <w:t>Selon l’art. 48 let. a LPA, les demandes en reconsidération de décisions prises par les autorités administratives sont recevables lorsqu'un motif de révision au sens de l’art. 80 let. b LPA est réalisé, soit lorsque, dans une affaire réglée par une décision définitive, il apparaît qu'il existe des faits ou des moyens de preuve nouveaux et importants que le recourant ne pouvait connaître ou invoquer dans la procédure précédente.</w:t>
      </w:r>
    </w:p>
    <w:p>
      <w:r>
        <w:t>a. 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w:t>
      </w:r>
    </w:p>
    <w:p>
      <w:r>
        <w:t>- 6/8 - A/233/2014 (ATF 134 IV 48 consid. 1.2 p. 50 ; ATFA U 5/95 du 19 juin 1996 consid. 2b ; ATA/845/2012 du 18 décembre 2012 ; ATA/594/2012 du 4 septembre 2012 ; ATA/282/2002 du 28 mai 2002 ; ATA/141/2002 du 19 mars 2002).</w:t>
      </w:r>
    </w:p>
    <w:p>
      <w:r>
        <w:t>b. Selon la doctrine, une demande de reconsidération ne doit pas permettre de remettre continuellement en cause des décisions entrées en force et d'éluder les dispositions légales sur les délais de recours. C'est pourquoi, en principe, l'administré n'a aucun droit à ce que l'autorité entre en matière sur sa demande de reconsidération, sauf si une telle obligation de l'autorité est prévue par la loi ou si les conditions particulières posées par la jurisprudence sont réalisées (Thierry TANQUEREL, Manuel de droit administratif, 2011, n. 1471 p. 477). 4)</w:t>
      </w:r>
    </w:p>
    <w:p>
      <w:r>
        <w:t>En l'espèce, la recourante soutient que l'attestation du maire de C______ est une preuve nouvelle importante de nature à permettre la reconsidération en sa faveur de la décision du 7 avril 2009.</w:t>
      </w:r>
    </w:p>
    <w:p>
      <w:r>
        <w:t>L'attestation en question est datée du 12 septembre 2013. Elle retire un certificat de domicile concernant Mme A______, établi le 28 juin 2011. Ces deux documents sont ainsi postérieurs de plus de deux ans, respectivement quatre ans à la décision dont la reconsidération est demandée. Le document initial invalidé n'a ainsi pas pu avoir d'incidence sur cette décision, prise sur la base des éléments recueillis au cours d'enquêtes menées par l’autorité intimée. En outre, le document établi par l'autorité administrative française en 2013 a pour objet d'attester que l'intéressée n'a pas et n'a pas eu de domicile – au sens du seul droit français – dans la commune où elle possède un bien immobilier. Il n'est en revanche pas de nature à établir que la recourante aurait eu une résidence effective constituant un domicile à Genève depuis 1er janvier 2004. L'OCPM a donc estimé à bon droit qu'il ne constituait ainsi pas un moyen de preuve nouveau dont la connaissance à l'époque l'aurait conduit à statuer autrement sur la question du domicile à Genève de la recourante. 5)</w:t>
      </w:r>
    </w:p>
    <w:p>
      <w:r>
        <w:t>Au vu de ce qui précède, le recours sera rejeté.</w:t>
      </w:r>
    </w:p>
    <w:p>
      <w:r>
        <w:t>Vu l'issue du litige, un émolument de CHF 500.- sera mis à la charge de la recourante et aucune indemnité de procédure ne lui sera octroyée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