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ATA/657/2013 vom 1. Oktober 2013</w:t>
      </w:r>
    </w:p>
    <w:p>
      <w:r>
        <w:t>GE Cour de justice, 2013-10-01, FR</w:t>
      </w:r>
    </w:p>
    <w:p>
      <w:r>
        <w:rPr>
          <w:b/>
        </w:rPr>
        <w:t xml:space="preserve">Quelle: </w:t>
      </w:r>
      <w:r>
        <w:t>https://mcp.opencaselaw.ch/entscheid/ge_gerichte_ATA_657_2013</w:t>
      </w:r>
    </w:p>
    <w:p>
      <w:r>
        <w:t>FR: GE_GERICHTE ATA/657/2013 du 1 octobre 2013</w:t>
      </w:r>
    </w:p>
    <w:p>
      <w:r>
        <w:t>IT: GE_GERICHTE ATA/657/2013 del 1 ottobre 2013</w:t>
      </w:r>
    </w:p>
    <w:p>
      <w:pPr>
        <w:pStyle w:val="Heading2"/>
      </w:pPr>
      <w:r>
        <w:t>Erwägungen</w:t>
      </w:r>
    </w:p>
    <w:p>
      <w:r>
        <w:rPr>
          <w:b/>
        </w:rPr>
        <w:t>E. 1</w:t>
      </w:r>
    </w:p>
    <w:p>
      <w:r>
        <w:t>a. A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laquelle l’autorité explique qu’elle justifie la position qu’elle entend adopter (A. AUER / G. MALINVERNI / M. HOTTELIER, Droit constitutionnel suisse, vol. 2, 2ème éd., 2006, nos 1220 et 1221, p. 570).</w:t>
      </w:r>
    </w:p>
    <w:p>
      <w:r>
        <w:t>b. Au sens de l’art. 4 al. 1 de la loi sur la procédure administrative du 12 septembre 1985 (LPA - E 5 10), sont considérées comme des décisions les mesures individuelles et concrètes prises par l’autorité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 elles sont notifiées aux parties, le cas échéant à leur domicile élu auprès de leur mandataire, par écrit (art. 46 al. 2 LPA).</w:t>
      </w:r>
    </w:p>
    <w:p>
      <w:r>
        <w:t>c. En droit genevois, la notion de décision est calquée sur le droit fédéral (art. 5 de la loi fédérale sur la procédure administrative du 20 décembre 1968 - PA - RS 172.021).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 ; 1C_408/2008 du 16 juillet 2009 consid. 2 ; ATA/155/2012 du 20 mars 2012 ; ATA/536/2011 du 30 août 2011 ; ATA/741/2010 du 2 novembre 2010 consid. 2 ; ATA/576/2010 du 31 août 2010 consid. 2).</w:t>
      </w:r>
    </w:p>
    <w:p>
      <w:r>
        <w:rPr>
          <w:b/>
        </w:rPr>
        <w:t>E. 2</w:t>
      </w:r>
    </w:p>
    <w:p>
      <w:r>
        <w:t>En l'espèce, le courrier litigieux indique au recourant, à juste titre, qu'il n'appartient pas au tuteur, devenu depuis l'entrée en vigueur, le 1er janvier 2013, de la révision du Code civil suisse du 10 décembre l907 (CCS - RS 210) concernant la protection de l’adulte, le droit des personnes et le droit de la filiation, le curateur de sa fille, de modifier les contributions d'entretien versées pour sa pupille. Cette compétence appartient au juge du divorce (art. 134 al. 3 CCS) qui peut être saisi, le cas échéant, par M. B______.</w:t>
      </w:r>
    </w:p>
    <w:p>
      <w:r>
        <w:t>- 4/5 - A/562/2013</w:t>
      </w:r>
    </w:p>
    <w:p>
      <w:r>
        <w:t>En conséquence, le recours sera déclaré irrecevable, le courrier litigieux ne constituant pas une décision administrative sujette à recours, au sens de l'art.4 al. 1 LPA.</w:t>
      </w:r>
    </w:p>
    <w:p>
      <w:r>
        <w:rPr>
          <w:b/>
        </w:rPr>
        <w:t>E. 3</w:t>
      </w:r>
    </w:p>
    <w:p>
      <w:r>
        <w:t>Au vu des spécificités du dossier, aucun émolument ne sera mis à la charge du recourant, bien qu'il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