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ATA/657/2009 vom 15. Dezember 2009</w:t>
      </w:r>
    </w:p>
    <w:p>
      <w:r>
        <w:t>GE Cour de justice, 2009-12-15, FR</w:t>
      </w:r>
    </w:p>
    <w:p>
      <w:r>
        <w:rPr>
          <w:b/>
        </w:rPr>
        <w:t xml:space="preserve">Quelle: </w:t>
      </w:r>
      <w:r>
        <w:t>https://mcp.opencaselaw.ch/entscheid/ge_gerichte_ATA_657_2009</w:t>
      </w:r>
    </w:p>
    <w:p>
      <w:r>
        <w:t>FR: GE_GERICHTE ATA/657/2009 du 15 décembre 2009</w:t>
      </w:r>
    </w:p>
    <w:p>
      <w:r>
        <w:t>IT: GE_GERICHTE ATA/657/2009 del 15 dicembre 2009</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t>- 14/20 - A/1371/2008</w:t>
      </w:r>
    </w:p>
    <w:p>
      <w:r>
        <w:rPr>
          <w:b/>
        </w:rPr>
        <w:t>E. 2</w:t>
      </w:r>
    </w:p>
    <w:p>
      <w:r>
        <w:t>Les recourants, à juste titre, ne remettent pas en question le bien fondé sur le principe de la procédure en rappel d'impôt ou en soustraction fiscale, les conditions des art. 151 et 175 LIFD étant à l'évidence réalisées.</w:t>
      </w:r>
    </w:p>
    <w:p>
      <w:r>
        <w:t>A ce stade de la procédure ne sont plus contestées que les reprises relatives aux frais de véhicules et de formation pour les exercices fiscaux 1997/1998 et 1999/2000, ainsi que la reprise de frais de fournisseurs pour un montant de CHF 3'162.- pour l'exercice 2001-B. Est également contestée la quotité de l'amende.</w:t>
      </w:r>
    </w:p>
    <w:p>
      <w:r>
        <w:rPr>
          <w:b/>
        </w:rPr>
        <w:t>E. 3</w:t>
      </w:r>
    </w:p>
    <w:p>
      <w:r>
        <w:t>Selon l'art. 27 LIFD, les contribuables exerçant une activité lucrative indépendante peuvent déduire les frais qui sont justifiés par l'usage commercial ou professionnel. Ces frais ne doivent pas être indispensables, il suffit qu'il existe un lien entre ces frais et l'obtention d'un revenu (W. RYSER/B. ROLLI, Précis de droit fiscal suisse, 4ème éd., 2002, page 224). En règle générale, le fisc dans ce domaine se contente de vérifier que les dépenses en question sont réellement liées à l'activité indépendante et qu'elles ont été effectuées (X. OBERSON, Droit fiscal suisse, 3ème éd., 2007, n. 228 page 142).</w:t>
      </w:r>
    </w:p>
    <w:p>
      <w:r>
        <w:t>Selon un principe général, il incombe au fisc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(ATF 121 II p. 257, consid. 4 c/aa, p. 266 ; Arrêt du Tribunal fédéral 2A.262/2006 du 6 novembre 2006, RDAF 2006 chiffre II p. 430 et ss ; Revues fiscales 60/2005 p. 618 consid. 4.1).</w:t>
      </w:r>
    </w:p>
    <w:p>
      <w:r>
        <w:t>Frais de véhicule</w:t>
      </w:r>
    </w:p>
    <w:p>
      <w:r>
        <w:rPr>
          <w:b/>
        </w:rPr>
        <w:t>E. 4</w:t>
      </w:r>
    </w:p>
    <w:p>
      <w:r>
        <w:t>En vertu des principes ci-dessus énoncés, les frais de déplacements professionnels font parties des frais déductibles selon l'art. 27 al. 1 LIFD. Si un contribuable utilise son véhicule aussi bien pour les trajets privés que professionnels, il est nécessaire, au plan fiscal, d'agencer une délimitation entre les frais nécessités par l'usage privé et les frais professionnels seuls déductibles (E. KÄNZIG, Wehrsteuer {Direkte Bundessteuer}, 2ème éd. n. 18 ad art. 22 al. 1 lettre a, p. 56 ; P. LOCHER, Kommentar zum DBG, I. Teil, art. 1-48 DBG, Therwil/Basel 2001, n. 32 ad art. 27, p. 686 ; Ph. FUNK, Der Begriff des Gewinnungskosten nach schweizerischem Einkommenssteuerrecht, thèse St-Gall 1988, p. 224/225). L'estimation de ces frais peut être faite sur la base des frais effectifs ou sur une base forfaitaire comme le consacrent les directives émises par l'administration fiscale tant au plan fédéral que cantonal (Notices N1/1993 ou N1/2001 du 15 décembre 2001 de l'administration fiscale fédérale sur la manière d'estimer les prélèvements en nature et des parts privées aux frais généraux des propriétaires d'entreprises). L'usage, à Genève, est d'admettre, tant en impôt cantonal que fédéral, pour des raisons de simplification, une déduction</w:t>
      </w:r>
    </w:p>
    <w:p>
      <w:r>
        <w:t>- 15/20 - A/1371/2008 fiscale équivalente au 3/5 du total des frais de véhicule enregistrés pour permettre la distinction avec les frais de déplacements privés. C'est cependant le critère de la connexité des frais déclarés avec l'activité professionnelle qui reste le principe que le contribuable et le fisc doivent respecter. De jurisprudence constante, les directives de l'administration fiscale susceptibles de s'appliquer à cette matière, n'ont pas force obligatoire, mais servent à interpréter la norme lorsqu'elles sont adaptées au cas d'espèce (ATF 121 II, consid. 2 b p. 478 et les arrêts cités ; ATA/541/2007 du 30 octobre 2007). Il en va de même des pratiques de l'AFC- GE, telles la déductibilité du 3/5 du total des frais de véhicule à titre de frais professionnels. Elles ne sont pas contraignantes, et les autorités de recours comme le fisc sont susceptibles de s'en écarter lorsque les circonstances ne permettent plus un usage conforme à la loi.</w:t>
      </w:r>
    </w:p>
    <w:p>
      <w:r>
        <w:rPr>
          <w:b/>
        </w:rPr>
        <w:t>E. 5</w:t>
      </w:r>
    </w:p>
    <w:p>
      <w:r>
        <w:t>Dans le cas d’espèce, les recourants avaient déduit comme frais de véhicule CHF 19'522.- en 1997 et CHF 23'349.- en 1998. Suite au contrôle fiscal, le constat ayant été fait que les contribuables avaient déclaré des déductions pour les frais liés au leasing et à l'entretien de deux véhicules, ainsi que des frais d'essence exagérés ou des montants non liés à ces frais de déplacements (amendes), c'est à juste titre que le fisc a procédé à un nouveau calcul du revenu imposable. En outre, c'est avec raison que l’AFC-GE a refusé d'admettre la déduction de tous les frais liés à leur deuxième véhicule, et de s'écarter du taux de déduction usuel en ne retenant qu'1/5 des frais déclarés, après qu'elle ait constaté une exagération dans la facturation d'essence et l'impossibilité, au vu du libellé incertain des pièces fournies, de distinguer la part de frais privés de celle de frais justifiés par l'usage professionnel.</w:t>
      </w:r>
    </w:p>
    <w:p>
      <w:r>
        <w:t>Sur le principe, le recours est infondé sur ce point.</w:t>
      </w:r>
    </w:p>
    <w:p>
      <w:r>
        <w:t>En revanche, c'est à juste titre que M. P______ s'est plaint, comme l'admet par ailleurs l'AFC-GE dans ses écritures que la reprise ne doit pas conduire à un résultat négatif ainsi que c'est le cas pour les périodes fiscales 1997/1998. En l'occurence, ce chiffre négatif provient de ce que le contribuable a porté - pour des raisons inexplicables et inexpliquées - dans sa déclaration fiscale, un montant de frais de véhicule inférieur, à celui figurant dans son grand livre. Le montant de la reprise effectuée par l'AFC-GE étant déterminé à partir des chiffres ressortant de la comptabilité, il est évident que, si par ce biais le montant de la reprise dépasse celui des chiffres déclarés, celle-ci doit être ramenée à un niveau n'amenant pas à un tel résultat.</w:t>
      </w:r>
    </w:p>
    <w:p>
      <w:r>
        <w:t>Ainsi, après déduction des frais liés à l'entretien du deuxième véhicule, les chiffres suivants doivent être retenus :</w:t>
      </w:r>
    </w:p>
    <w:p>
      <w:r>
        <w:t>- 16/20 - A/1371/2008</w:t>
      </w:r>
    </w:p>
    <w:p>
      <w:r>
        <w:t>Conformément à ce que l'AFC-GE admet elle-même, le recours sera admis sur ce point avec les rectifications résultant des calculs susmentionnés, et le bordereau de taxation IFD 1999/ 2000 (et non pas le bordereau de taxation IFD 1997/1998 comme l'AFC-GE le mentionne de manière erronée dans ses écritures) devra être rectifié dans ce sens.</w:t>
      </w:r>
    </w:p>
    <w:p>
      <w:r>
        <w:rPr>
          <w:b/>
        </w:rPr>
        <w:t>E. 6</w:t>
      </w:r>
    </w:p>
    <w:p>
      <w:r>
        <w:t>Les recourants contestent le refus de l'AFC-GE et de la commission d'accepter la déduction de dépenses consacrées à des rencontres de formations continues entre praticiens sous l'égide d'un groupe d'études dénommé " S______". Dans la comptabilité du cabinet, les contribuables avaient ainsi fait figurer chaque année un montant global lié à ces dépenses (1997 : CHF 5'578.-, 1998 : CHF 3'172.-, 1999 : CHF 3'094.-, 2001 : CHF 810,30). A l'appui de leurs contestations, ils produisent devant le tribunal de céans et en complément des pièces produites devant l'AFC-GE, un relevé détaillant ce poste, accompagné de certaines pièces justificatives.</w:t>
      </w:r>
    </w:p>
    <w:p>
      <w:r>
        <w:t>Les frais de formation continue, lorsqu'ils sont en relation avec l'exercice de l'activité indépendante, sont déductibles fiscalement en application de l'art. 27 LIFD (D. YERSIN, Y. NOËL, Impôt fédéral direct, Commentaire de la loi sur l'impôt fédéral direct, 2007, ad art. 27 LIFD, n. 13 et 14, p. 458). L'examen des nouvelles pièces produites ne permet cependant pas de considérer que le refus de l'AFC-GE et de la commission ne soit pas fondé. En effet, si toute liberté doit être reconnue aux personnes exerçant une activité lucrative indépendante, d'organiser la formation continue nécessaire, voire exigée par la loi, cela n'autorise à ce titre que la déduction de dépenses qui sont en lien nécessaire et direct avec cette formation. Or en l'espèce, au-delà de la liste des sujets traités lors de chaque rencontre, fournie par le contribuable à l'appui du recours, les pièces justificatives produites mettent en évidence que les déductions réclamées concernent des frais de restaurants, des frais de transports en jet privé piloté par l'un des participants, ou des frais de repas et de séjour à l'étranger (Ibiza, Charm El Sheik, Porto- Vecchio), dont le lien nécessaire avec la formation continue, n'est pas établi. Ces frais relevant davantage des dépenses d'agrément soit à des frais privés, non</w:t>
      </w:r>
    </w:p>
    <w:p>
      <w:r>
        <w:t>1997 1998 Montants des frais de véhicule selon Grand Livre CHF 48'036,85 CHF 38'915,65 Montants à retirer (montants de frais liés au véhicule AUDI ou de location dudit véhicule) CHF 20'498,40 CHF 12'934,50 Solde CHF 27'974,85 CHF 25'981,15 1/5 du solde CHF 5'515.- CHF 5'196,23 Montants déclarés CHF 19'522.- CHF 23'349.- Montants de la reprise CHF 14'006.- CHF 18'151.-</w:t>
      </w:r>
    </w:p>
    <w:p>
      <w:r>
        <w:t>- 17/20 - A/1371/2008 déductibles selon l'art. 34 let. a LIFD (D. YERSIN - Y. NOËL op. cit. ad art. 34 let. a. n. 7 p. 561 renvoyant à l'art. 27, note 21 et ss, p. 459). La décision de la commission sera confirmée sur ce point.</w:t>
      </w:r>
    </w:p>
    <w:p>
      <w:r>
        <w:rPr>
          <w:b/>
        </w:rPr>
        <w:t>E. 7</w:t>
      </w:r>
    </w:p>
    <w:p>
      <w:r>
        <w:t>Les recourants contestent, à concurrence de CHF 3'162,60, la reprise de CHF 8'385,80 sur les frais de fournisseurs. A l'appui de leur recours, ils produisent divers justificatifs de ces dépenses à concurrence du montant contesté. Si les frais d'aménagement d'un cabinet dentaire sont déductibles en application de l'art. 27 LIFD, il appartient au contribuable qui les invoque d'en établir la réalité et le lien avec l'activité professionnelle ou avec l'exercice fiscal considéré. Dans le cas d'espèce, ce lien ne ressort pas des pièces produites et c'est à juste titre qu'une reprise a été décidée sur ce poste :</w:t>
      </w:r>
    </w:p>
    <w:p>
      <w:r>
        <w:t>- La lecture des tickets de caisse Ikea n'établit pas qu'il s'agisse de meubles en rapport avec l'exploitation du cabinet ;</w:t>
      </w:r>
    </w:p>
    <w:p>
      <w:r>
        <w:t>- Le libellé de la facture d'architecte du 26 avril 2001 de CHF 1'826.- est imprécis et ne détaille pas à satisfaction les travaux effectués durant la période concernée par l'exercice fiscal, mais entre 1998 et 2000 ;</w:t>
      </w:r>
    </w:p>
    <w:p>
      <w:r>
        <w:t>- L'acquisition de disques CD à concurrence de CHF 297.- ne résulte que d'une mention dans une liste de dépenses et cette dépense n'est pas justifiée par pièces. C'est donc à juste titre que l'AFC-GE n'a pas retenu que ces frais puissent être déduits sans qu'il y ai lieu d'aller jusqu'à devoir déterminer s'il s'agit d'une dépense d'agrément.</w:t>
      </w:r>
    </w:p>
    <w:p>
      <w:r>
        <w:t>Le recours est également infondé sur ce point.</w:t>
      </w:r>
    </w:p>
    <w:p>
      <w:r>
        <w:rPr>
          <w:b/>
        </w:rPr>
        <w:t>E. 8</w:t>
      </w:r>
    </w:p>
    <w:p>
      <w:r>
        <w:t>Les recourants considèrent que l'amende confirmée par la commission est d'un montant exagéré. La somme de CHF 26'000.- correspond à 1,25 fois le montant du rapport d'impôt. Ils concluent à ce que cette amende soit ramenée à un montant correspondant à 0,75 fois de ce montant.</w:t>
      </w:r>
    </w:p>
    <w:p>
      <w:r>
        <w:t>Selon l'art. 175 LIFD, le contribuable qui, intentionnellement ou par négligence, fait en sorte qu'une taxation ne soit pas effectuée alors qu'elle devrait l'être, ou qu'une taxation entrée en force soit incomplète est puni d'une amende (art. 175 al. 1 LIFD). En règle générale, l'amende est fixée au montant de l'impôt soustrait. Toutefois, si la faute est grave, elle peut au plus être triplée (art. 175 al. 2 LIFD). Il y a faute grave en cas de récidive ou d'attitude continuellement récalcitrante du contribuable, ou lorsque celui-ci dispose de connaissances fiscales particulières ; Arrêt du Tribunal fédéral 2A.481/2003, D. YERSIN, Y. NOËL, op. cit., ad art. 175, n. 54 p. 1503. Il y a également circonstance aggravante en cas de présentation planifiée et erronée de bilan (D. YERSIN, Y. NOËL, op. cit., ad art. 175, no 54 p. 1504 ; Circulaire sur le rappel d'impôt et le droit pénal fiscal, ARCH. 64, 539 = RDAF 1996, 20, 32).</w:t>
      </w:r>
    </w:p>
    <w:p>
      <w:r>
        <w:t>- 18/20 - A/1371/2008</w:t>
      </w:r>
    </w:p>
    <w:p>
      <w:r>
        <w:t>La condition subjective de la soustraction fiscale est la faute du contribuable qui peut avoir agi de façon intentionnelle ou par négligence (Arrêt du Tribunal fédéral 2A.374/2005 consid. 2.1 ; ATA/386/2008 du 29 juillet 2008).</w:t>
      </w:r>
    </w:p>
    <w:p>
      <w:r>
        <w:t>Selon des principes qui n'ont pas été remis en cause, l'AFC-GE doit faire preuve de sévérité afin d'assurer le respect de la loi et jouit d'un large pouvoir d'appréciation pour infliger une amende. La juridiction de recours ne la censure qu'en cas d'excès (ATA/317/2007 du 12 juin 2007 consid. 7 ; ATA/410/2007 du 28 août 2007 consid. 20).</w:t>
      </w:r>
    </w:p>
    <w:p>
      <w:r>
        <w:t>Dans le cas d'espèce, c'est par la procédure de contrôle qu’il a été mis en évidence que la comptabilité de l'entreprise du recourant a été organisée ou tenue de sorte que de nombreux frais à caractère privé, soient passés en charge de l'activité commerciale, de façon à réduire le montant du revenu imposable. Il a été constaté que cette intervention dans les comptes avait un caractère répétitif ce qui laissait présumer une intention. En outre, l'utilisation de libellés comptables trompeurs et l'établissement de certains documents justificatifs dans un but de faire croire à l'existence de frais professionnels déductibles ont été constatés. Le Tribunal administratif relève que les montants soustraits ne sont pas anodins et que les recourants, à ce stade de la procédure, ne contestent plus la légitimité de la majeure partie des montants repris. Dans ces circonstances, compte tenu du modus operandi, l'AFC-GE était fondée, à décider de sanctionner les recourants d'une pénalité légèrement supérieure à la quotité de l’impôt soustrait, ce critère n'étant pas le seul auquel on peut recourir pour déterminer l'étendue de la faute.</w:t>
      </w:r>
    </w:p>
    <w:p>
      <w:r>
        <w:rPr>
          <w:b/>
        </w:rPr>
        <w:t>E. 9</w:t>
      </w:r>
    </w:p>
    <w:p>
      <w:r>
        <w:t>Le recours ne sera donc admis que très partiellement, concernant la reprise sur frais de véhicules déclarés en rapport avec les exercices comptables 1997 et 1998. En conséquence, le dossier sera renvoyé à l'AFC-GE pour établissement d'un nouveau bordereau rectificatif de rappel et d'amende puisque le montant de celle-ci est fixé en fonction du montant du rappel d'impôt. Il sera rejeté pour le surplus. Le bordereau rectificatif de rappel d'impôt IFD 1997-1998 du 27 octobre 2000 sera confirmé mais l'AFC-GE devra établir un nouveau bordereau de taxation IFD 2001-B en exécution de la décision de la commission du 12 mars 2008.</w:t>
      </w:r>
    </w:p>
    <w:p>
      <w:r>
        <w:rPr>
          <w:b/>
        </w:rPr>
        <w:t>E. 10</w:t>
      </w:r>
    </w:p>
    <w:p>
      <w:r>
        <w:t>Tant les recourants qui succombent sur la plupart de leurs conclusions que l'AFC-GE, devront s'acquitter d'un émolument. Le montant de celui-ci sera respectivement fixé à de CHF 1'500.- à charge des recourants pris conjointement et solidairement et CHF 500.- à charge de l’AFC-GE en application de l'art. 87 al. 1 LPA. * * * * *</w:t>
      </w:r>
    </w:p>
    <w:p>
      <w:r>
        <w:t>- 19/20 - A/1371/2008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