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ATA/656/2023 vom 20. Juni 2023</w:t>
      </w:r>
    </w:p>
    <w:p>
      <w:r>
        <w:t>GE Cour de justice, 2023-06-20, FR</w:t>
      </w:r>
    </w:p>
    <w:p>
      <w:r>
        <w:rPr>
          <w:b/>
        </w:rPr>
        <w:t xml:space="preserve">Quelle: </w:t>
      </w:r>
      <w:r>
        <w:t>https://mcp.opencaselaw.ch/entscheid/ge_gerichte_ATA_656_2023</w:t>
      </w:r>
    </w:p>
    <w:p>
      <w:r>
        <w:t>FR: GE_GERICHTE ATA/656/2023 du 20 juin 2023</w:t>
      </w:r>
    </w:p>
    <w:p>
      <w:r>
        <w:t>IT: GE_GERICHTE ATA/656/2023 del 20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conclut à son audition par la chambre de céans ainsi qu'à ce que cette dernière ordonne une expertise sur les conséquences que pourrait avoir un renvoi de Suisse sur la condition médicale de son fils. 2.1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 pas le droit d'être entendu oralement (ATF 140 I 285 consid. 6.3.1 ;138 III 374 consid. 4.3.2 ; 134 I 140 consid. 5.3). 2.2 L’expertise représente un moyen de preuve (art. 38 LPA) ordonné lorsque l’établissement ou l’appréciation de faits pertinents requièrent des connaissances et compétences spécialisées – par exemple techniques, médicales, scientifiques ou comptables – que l’administration ou le juge ne possèdent pas (ACST/19/2015 du 15 octobre 2015 consid. 2c). 2.3 En l’espèce, la recourante a eu l’occasion de faire valoir ses arguments par écrit devant l’OCPM, le TAPI puis la chambre de céans et de produire toutes pièces utiles. Elle n’expose pas quels éléments, qu’elle n’aurait pas pu produire par écrit, son audition orale pourrait apporter à la solution du litige. Quant à une expertise sur les conséquences que pourrait avoir un renvoi de Suisse sur la condition médicale du fils de la recourante, le dossier contient déjà les données médicales pertinentes, y compris un rapport médical établi en octobre 2022. La mise en rapport de ces données médicales avec la législation et la jurisprudence afin de savoir si un cas d'extrême gravité est donné ou si un renvoi est inexigible relève du droit, et sera examinée ci-après.</w:t>
      </w:r>
    </w:p>
    <w:p>
      <w:r>
        <w:t>- 10/21 - A/4218/2021 Il ne sera dès lors pas donné suite aux demandes d'actes d'instruction. 3. Le litige porte sur la décision de l'intimé du 10 novembre 2021 de refus d'octroi d'une autorisation de séjour pour la recourante et son fils et de renvoi de Suisse. 3.1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3.2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3.3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mars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3.4 La reconnaissance de l'existence d'un cas d'extrême gravité implique que l'étranger concerné se trouve dans une situation de détresse personnelle. Parmi les</w:t>
      </w:r>
    </w:p>
    <w:p>
      <w:r>
        <w:t>- 11/21 - A/4218/2021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- 12/21 - A/4218/2021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3.5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 3.6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L’intérêt de l’enfant, tel que prévu par l'art. 3 CDE, est un élément d'appréciation dont l'autorité doit tenir compte lorsqu'il s'agit de mettre en balance les différents intérêts en présence (ATF 139 I 315 consid. 2.4 ; arrêt du Tribunal fédéral 2C_851/2014 du 24 avril 2015 consid. 4.2). La CourEDH indique quant à elle que lorsque des enfants sont impliqués, leur intérêt supérieur doit être pris en compte, et que même s'il ne peut être décisif à lui seul, cet intérêt doit se voir accorder un poids significatif. En conséquence, les organes décisionnels nationaux devraient, en principe, examiner et évaluer les éléments de preuve relatifs à l'aspect pratique, à la faisabilité et à la</w:t>
      </w:r>
    </w:p>
    <w:p>
      <w:r>
        <w:t>- 13/21 - A/4218/2021 proportionnalité de tout déplacement d'un parent non national afin d'accorder une protection efficace et un poids suffisant à l'intérêt supérieur des enfants directement concernés par ce déplacement (ACEDH T.C.E. c. Allemagne du 1er mars 2018, req. n° 58681/12, § 57).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 3.7 En l'espèce, le TAPI ne s'est pas penché sur la durée du séjour en Suisse de la recourante, mentionnant seulement qu'elle y était arrivée pour la première fois en 2004. On peut distinguer quatre périodes s'agissant du séjour de la recourante : de décembre 2004 à juin 2011, elle a séjourné à Genève au bénéfice d'une autorisation de séjour pour études ; de juin 2018 à juillet 2020, elle a séjourné à Genève au bénéfice d'une carte de légitimation du département fédérale des affaires étrangères ; depuis juillet 2020, elle séjourne à Genève au bénéfice d'une tolérance des autorités de migration ; quant à la période allant de juin 2011 à juin 2018, son lieu de résidence est peu clair, puisqu'elle bénéficiait pendant cette période d'un titre de séjour en Italie. Il résulte toutefois du dossier qu'elle se trouvait en 2014 au Pakistan, puisqu'elle y a épousé le père de son fils, qu'en septembre 2016 c'est à Genève qu'elle a donné naissance à ce dernier, et qu'en</w:t>
      </w:r>
    </w:p>
    <w:p>
      <w:r>
        <w:t>- 14/21 - A/4218/2021 2018 c'est depuis G______ qu'elle a fait les démarches pour revenir à Genève. On ne peut donc considérer qu'elle ait séjourné de manière continue en Suisse durant cette période. Elle a ainsi résidé légalement à Genève environ huit ans et demi, et y séjourne depuis environ trois ans au bénéfice d'une tolérance – cette dernière période doit donc être fortement relativisée. Quoi qu'il en soit, on peut considérer son séjour à Genève comme assez long, ce qui n'est toutefois pas encore suffisant pour retenir un cas d'extrême gravité – ce d'autant plus que ledit séjour n'a pas été continu. L'intégration sociale et professionnelle de la recourante ne saurait être qualifiée d'exceptionnelle au sens de la jurisprudence, surtout pour une personne qui prétend vivre à Genève depuis presque 20 ans. Elle dit être indépendante financièrement, mais l'on ne sait rien de son activité professionnelle actuelle, étant rappelé qu'auparavant elle a travaillé dans l'économie domestique ou dans le commerce de détail. Si elle n'a jamais recouru à l’aide sociale et ne semble pas avoir de casier judiciaire, ces éléments relèvent du comportement que l’on est en droit d’attendre de toute personne séjournant dans le pays (arrêts du Tribunal fédéral 2C_779/2016 du 13 septembre 2016 consid. 4.2 ; 2C_789/2014 du 20 février 2015 consid. 2.2.2 ; ATA/1171/2021 du 2 novembre 2021 consid. 8). De plus, si elle a prouvé avoir suivi des cours de français en 2005, aucune pièce au dossier n'atteste de son niveau de maîtrise de la langue. Enfin, la recourante n'allègue pas s'être impliquée à un quelconque titre dans la vie culturelle ou associative genevoise, ni s'être créé des attaches particulièrement étroites avec la Suisse au point de rendre étranger son pays d'origine. S'agissant de ses possibilités de réintégration dans son pays d'origine, la recourante, âgée aujourd'hui de 41 ans, est née au Pakistan, et l'ourdou est sa langue maternelle. Elle y a vécu son enfance, son adolescence et le début de sa vie d'adulte, puisqu'elle est arrivée en Europe à l'âge de 22 ans. En toute hypothèse, les années que la recourante a passées en Suisse ne l'ont pas rendue étrangère à sa culture d’origine ni à sa langue maternelle, comme en témoigne le fait qu'elle a en 2014 épousé un Pakistanais au Pakistan. La recourante est encore jeune et en bonne santé et, de retour dans son pays d'origine, elle pourra faire valoir les connaissances et l'expérience professionnelle acquises en Suisse. Quant à son fils, il est âgé de 6 ans et demi, si bien qu'en principe son sort est encore dépendant de celui de ses parents – étant précisé que la recourante n'a donné aucun détail sur le lieu de résidence du père de l'enfant ni sur la relation qu'il aurait avec son fils. La recourante soutient que le TAPI n'aurait pas correctement pris en compte les spécificités du trouble autistique dont est atteint son fils. Elle ne saurait être suivie sur ce point. En effet, quand bien même on doit admettre que le fils de la recourante est atteint dans sa santé et nécessite un suivi médical, logopédique et éventuellement psychologique à long terme, et même si les enfants souffrant d'un</w:t>
      </w:r>
    </w:p>
    <w:p>
      <w:r>
        <w:t>- 15/21 - A/4218/2021 TSA ont une moindre tolérance aux changements, on ne saurait considérer qu'il s'agisse d'une atteinte sérieuse au sens de la jurisprudence, et surtout que les soins en question soient réellement indisponibles dans le pays de renvoi. Si ce dernier devait être l'Italie, il est évident que l'autisme des enfants y est pris en charge. Le TAPI a par ailleurs mis en évidence l'existence d'organismes s'occupant au Pakistan d'enfants présentant un TSA. La recourante se prévaut de ce que la pédiatre qui s'occupe de son fils pense qu'un traitement adéquat n'y est pas disponible, mais rien n'indique que celle-ci ait une connaissance quelconque du système médical et des institutions pour enfants de ce pays, si bien que l'on ne peut donner foi à son affirmation à ce sujet. Il convient en outre de relever que la pédiatre indique comme mesure la plus importante pour l'enfant le placement en classe spécialisée, tout en relevant que « les parents » de l'enfant s'y étaient jusque-là opposés. Enfin, le fait que le système éducatif et de santé pakistanais soit par hypothèse moins performant que celui de la Suisse ne suffit pas à justifier une exception aux mesures de limitation. Le grief de violation de l'art. 30 al. 1 let. b LEI sera écarté. 4. Enfin, la recourante soutient que le renvoi de son fils serait impossible ou inexigible, concluant à titre subsidiaire à ce qu'ils soient mis au bénéfice d'une admission provisoire. 4.1 Selon l'art. 64 al. 1 let. c LEI, toute personne étrangère dont l'autorisation est refusée, révoquée ou qui n'est pas prolongée après un séjour autorisé est renvoyée. La décision de renvoi est assortie d'un délai de départ raisonnable (art. 64 let. 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4.3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w:t>
      </w:r>
    </w:p>
    <w:p>
      <w:r>
        <w:t>- 16/21 - A/4218/2021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w:t>
      </w:r>
    </w:p>
    <w:p>
      <w:r>
        <w:t>- 17/21 - A/4218/2021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4.5 En l'espèce, la recourante n'allègue matériellement aucun motif d'impossibilité du renvoi ; seul est ainsi en jeu le caractère exigible de l'exécution du renvoi. Il apparaît clairement que le TSA dont est atteint le fils de la recourante n'atteint pas le niveau de gravité exigé par la jurisprudence de la CourEDH citée plus haut. Il a par ailleurs déjà été retenu au considérant précédent qu'une prise en charge du TSA du fils de la recourante apparaissait possible au Pakistan, si bien que l'on ne saurait considérer qu'il ne pourrait y recevoir les soins de médecine générale et d'urgence absolument nécessaires à la garantie de sa dignité humaine. On ne saurait dans ces circonstances considérer le renvoi au Pakistan du fils de la recourante comme inexigible. Au vu de ce qui précède, la décision de l'OCPM est conforme au droit et le recours contre le jugement du TAPI, entièrement mal fondé, sera rejeté.</w:t>
      </w:r>
    </w:p>
    <w:p>
      <w:r>
        <w:rPr>
          <w:b/>
        </w:rPr>
        <w:t>E. 5</w:t>
      </w:r>
    </w:p>
    <w:p>
      <w:r>
        <w:t>Vu l'issue du litige, un émolument de CHF 400.-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