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ATA/656/2015 vom 23. Juni 2015</w:t>
      </w:r>
    </w:p>
    <w:p>
      <w:r>
        <w:t>GE Cour de justice, 2015-06-23, FR</w:t>
      </w:r>
    </w:p>
    <w:p>
      <w:r>
        <w:rPr>
          <w:b/>
        </w:rPr>
        <w:t xml:space="preserve">Quelle: </w:t>
      </w:r>
      <w:r>
        <w:t>https://mcp.opencaselaw.ch/entscheid/ge_gerichte_ATA_656_2015</w:t>
      </w:r>
    </w:p>
    <w:p>
      <w:r>
        <w:t>FR: GE_GERICHTE ATA/656/2015 du 23 juin 2015</w:t>
      </w:r>
    </w:p>
    <w:p>
      <w:r>
        <w:t>IT: GE_GERICHTE ATA/656/2015 del 23 giugno 2015</w:t>
      </w:r>
    </w:p>
    <w:p>
      <w:pPr>
        <w:pStyle w:val="Heading2"/>
      </w:pPr>
      <w:r>
        <w:t>Erwägungen</w:t>
      </w:r>
    </w:p>
    <w:p>
      <w:r>
        <w:rPr>
          <w:b/>
        </w:rPr>
        <w:t>E. 6</w:t>
      </w:r>
    </w:p>
    <w:p>
      <w:r>
        <w:t>novembre 2012 consid. 12 ; ATA/102/2012 du 21 février 2012 consid. 3 ; ATA/309/2010 du 4 mai 2010 consid. 2 ; ATA/156/2010 du 9 mars 2010 consid. 1 ; ATA/32/2010 du 19 janvier 2010 consid. 2 et jurisprudence citée ; Pierre MOOR/Etienne POLTIER, op. cit., p. 803-805 n. 8.8.1.3). Elle signifie que le recourant doit expliquer en quoi et pourquoi il s’en prend à la décision litigieuse. La motivation doit être en relation avec l’objet du litige et le recourant doit se référer à des motifs qui entrent dans le pouvoir d’examen de l’autorité de recours (Benoît BOVAY, Procédure administrative, 2000, p. 387). Selon le Tribunal fédéral, 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w:t>
      </w:r>
    </w:p>
    <w:p>
      <w:r>
        <w:t>- 6/10 - A/641/2015 contestation (arrêt du Tribunal fédéral 2A.143/2005 du 21 avril 2005). Un recours sommaire se bornant, en matière de marchés publics, à invoquer des arguments techniques et de politique commerciale, n’indiquant au demeurant aucun moyen de preuve et ne fournissant aucune pièce ne remplit pas cette exigence (ATA/216/2013 du 9 avril 2013 ; ATA/795/2005 du 22 novembre 2005).</w:t>
      </w:r>
    </w:p>
    <w:p>
      <w:r>
        <w:t>b. En l’espèce, l’acte de recours ne conclut pas expressément à l’annulation de la décision d’exclusion du 24 février 2015. Une telle conclusion découle toutefois de la demande clairement manifestée de la recourante tendant à ce que l’intimée revoie sa décision et la réintègre dans la procédure d’examen des offres, afin qu’elle ait une chance de se voir adjuger le marché public en cause. Ses conclusions sont donc recevables.</w:t>
      </w:r>
    </w:p>
    <w:p>
      <w:r>
        <w:t>Il en va de même de la motivation, très sommaire, mais juste suffisante dans la mesure où l’on comprend que la recourante requiert la prise en compte des nouvelles pièces qu’elle produit et qui seraient selon elle valables contrairement à celles qui ont conduit à son exclusion. Autre est la question de savoir si cette demande a une quelconque pertinence ou un quelconque fondement, ce qui sera examiné ci-après. 3)</w:t>
      </w:r>
    </w:p>
    <w:p>
      <w:r>
        <w:t>L’AIMP a pour objectif l’ouverture des marchés publics, notamment des communes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 4)</w:t>
      </w:r>
    </w:p>
    <w:p>
      <w:r>
        <w:t>Aux termes de l’art. 32 al. 1 RMP, ne sont prises en considération que les offres accompagnées, pour le soumissionnaire et ses sous-traitants, des documents suivants : a) attestations justifiant que la couverture du personnel en matière d'assurances sociales est assurée conformément à la législation en vigueur au siège du soumissionnaire et que ce dernier est à jour avec le paiement de ses cotisations ; b) attestation certifiant pour le personnel appelé à travailler sur territoire genevois : 1° soit que le soumissionnaire est lié par la convention collective de travail de sa branche, applicable à Genève, 2°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 ; c) attestation de l’autorité fiscale compétente justifiant que le soumissionnaire s’est acquitté de ses obligations en matière d’impôt à la</w:t>
      </w:r>
    </w:p>
    <w:p>
      <w:r>
        <w:t>- 7/10 - A/641/2015 source retenu sur les salaires de son personnel ou qu'il n'a pas de personnel soumis à cet impôt ; d) déclaration du soumissionnaire s’engageant à respecter le principe de l’égalité entre femmes et hommes.</w:t>
      </w:r>
    </w:p>
    <w:p>
      <w:r>
        <w:t>L’al. 3 de cette disposition règlementaire précise que pour être valables, les attestations visées à l'al. 1 ne doivent pas être antérieures de plus de trois mois à la date fixée pour leur production, sauf dans les cas où elles ont, par leur contenu, une durée de validité supérieure.</w:t>
      </w:r>
    </w:p>
    <w:p>
      <w:r>
        <w:t>En vertu de l'art. 42 RMP, l'offre est écartée d'office lorsque le soumissionnaire a rendu une offre tardive, incomplète ou non-conforme aux exigences ou au cahier des charges (al. 1 let. a) ; les offres écartées ne sont pas évaluées ; l'autorité adjudicatrice rend une décision d'exclusion motivée, notifiée par courrier à l'intéressé, avec mention des voies de recours (al. 3). 5)</w:t>
      </w:r>
    </w:p>
    <w:p>
      <w:r>
        <w:t>Le droit des marchés publics est formaliste, comme la chambre de céans l’a déjà rappelé à plusieurs reprises (ATA/535/2011 du 30 août 2011 consid. 5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 (ATA/535/2011 précité consid. 5).</w:t>
      </w:r>
    </w:p>
    <w:p>
      <w:r>
        <w:t>Ledit formalisme permet de protéger notamment le principe d’intangibilité des offres remises et le respect du principe d’égalité de traitement entre soumissionnaires garanti par l'art. 16 al. 2 RMP (ATA/129/2014 du 4 mars 2014 consid. 4, a contrario).</w:t>
      </w:r>
    </w:p>
    <w:p>
      <w:r>
        <w:t>Conformément à l’art. 42 al. 1 let. a RMP, une offre est écartée d'office lorsque le soumissionnaire a rendu une offre tardive, incomplète ou non-conforme aux exigences ou au cahier des charges.</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w:t>
      </w:r>
    </w:p>
    <w:p>
      <w:r>
        <w:t>- 8/10 - A/641/2015 RODONDI, La gestion de la procédure de soumission [ci-après : La gestion de la procédure de soumission], in Droit des marchés publics 2008, p. 186 n. 63).</w:t>
      </w:r>
    </w:p>
    <w:p>
      <w:r>
        <w:t>Les principes précités valent notamment pour la phase d’examen de la recevabilité des soumissions (Olivier RODONDI, La gestion de la procédure de soumission,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(ATA/535/2011 précité consid. 6 ; ATA/102/2010 du 16 février 2010, confirmé par arrêt du Tribunal fédéral 2C_197/2010 et 2C_198/2010 du 30 avril 2010).</w:t>
      </w:r>
    </w:p>
    <w:p>
      <w:r>
        <w:t>La chambre de céans s'est toujours montrée stricte dans ce domaine (ATA/535/2011 précité consid. 6 ; ATA/150/2006 du 14 mars 2006, notamment), ce que le Tribunal fédéral a constaté mais confirmé (arrêts du Tribunal fédéral 2C_418/2014 du 20 août 2014 ; 2C_197 et 198/2010 précité), la doctrine étant plus critique à cet égard (Olivier RODONDI, La gestion de la procédure de soumission, p. 186 n. 64, et p. 187 n. 66). 6)</w:t>
      </w:r>
    </w:p>
    <w:p>
      <w:r>
        <w:t>En l’espèce, dans ses écritures de recours, la recourante a reconnu qu’elle n’avait pas présenté à l’autorité adjudicatrice toutes les attestations requises par l’art. 32 al. 1 RMP ainsi que par les points 23 et 24 et le récapitulatif du chapitre X (n° 1, 2, 3, 4, 5 et 8) du cahier de soumission, établies depuis moins de trois mois à la date fixée pour leur production.</w:t>
      </w:r>
    </w:p>
    <w:p>
      <w:r>
        <w:t>Conformément aux règles et principes énoncés plus haut, ces manquements ne peuvent pas être réparés par la production des attestations valables après le délai de dépôt des offres, au stade de la procédure de recours.</w:t>
      </w:r>
    </w:p>
    <w:p>
      <w:r>
        <w:t>Ce seul motif suffit à justifier l’exclusion de l’offre de la recourante, en application de l’art. 42 al. 1 let. a RMP.</w:t>
      </w:r>
    </w:p>
    <w:p>
      <w:r>
        <w:t>Il n’est donc pas nécessaire ou utile d’examiner si la recourante a ou non rempli les réquisits du point 24.1 let. c et du n° 9 du récapitulatif (chapitre X), étant relevé qu’elle ne conteste pas non plus la décision attaquée sur ce point. 7)</w:t>
      </w:r>
    </w:p>
    <w:p>
      <w:r>
        <w:t>Le recours, entièrement infondé, ne peut en conséquence qu’être rejeté. 8)</w:t>
      </w:r>
    </w:p>
    <w:p>
      <w:r>
        <w:t>Vu l’issue du litige, un émolument de CHF 1'000.- sera mis à la charge de la recourante qui succombe (art. 87 al. 1 LPA). Il ne sera pas alloué d'indemnité de</w:t>
      </w:r>
    </w:p>
    <w:p>
      <w:r>
        <w:t>- 9/10 - A/641/2015 procédure à la Ville de Genève qui dispose de son propre service juridique (art. 87 al. 2 LPA ; ATA/312/2004 du 20 avril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