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ATA/655/2020 vom 7. Juli 2020</w:t>
      </w:r>
    </w:p>
    <w:p>
      <w:r>
        <w:t>GE Cour de justice, 2020-07-07, FR</w:t>
      </w:r>
    </w:p>
    <w:p>
      <w:r>
        <w:rPr>
          <w:b/>
        </w:rPr>
        <w:t xml:space="preserve">Quelle: </w:t>
      </w:r>
      <w:r>
        <w:t>https://mcp.opencaselaw.ch/entscheid/ge_gerichte_ATA_655_2020</w:t>
      </w:r>
    </w:p>
    <w:p>
      <w:r>
        <w:t>FR: GE_GERICHTE ATA/655/2020 du 7 juillet 2020</w:t>
      </w:r>
    </w:p>
    <w:p>
      <w:r>
        <w:t>IT: GE_GERICHTE ATA/655/2020 del 7 luglio 2020</w:t>
      </w:r>
    </w:p>
    <w:p>
      <w:pPr>
        <w:pStyle w:val="Heading2"/>
      </w:pPr>
      <w:r>
        <w:t>Regeste</w:t>
      </w:r>
    </w:p>
    <w:p>
      <w:r>
        <w:t>Résumé: Irrecevabilité du recours dirigé contre un cahier des charges, en l’absence de modification des droits et obligations des fonctionnaires concernées.</w:t>
      </w:r>
    </w:p>
    <w:p>
      <w:pPr>
        <w:pStyle w:val="Heading2"/>
      </w:pPr>
      <w:r>
        <w:t>Erwägungen</w:t>
      </w:r>
    </w:p>
    <w:p>
      <w:r>
        <w:rPr>
          <w:b/>
        </w:rPr>
        <w:t>E. 26</w:t>
      </w:r>
    </w:p>
    <w:p>
      <w:r>
        <w:t>septembre 2010 - LOJ - E 2 05).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de la loi sur la procédure administrative du 12 septembre 1985 (LPA - E 5 10 ; art. 132 al. 2 LOJ).</w:t>
      </w:r>
    </w:p>
    <w:p>
      <w:r>
        <w:t>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Lorsqu’une autorité mise en demeure refuse sans droit de statuer ou tarde à se prononcer, son silence est assimilé à une décision (art. 4 al. 4 LPA).</w:t>
      </w:r>
    </w:p>
    <w:p>
      <w:r>
        <w:t>c.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(arrêt du Tribunal fédéral 8D_2/2018 du 21 février 2019 consid. 6.2).</w:t>
      </w:r>
    </w:p>
    <w:p>
      <w:r>
        <w:t>La distinction entre acte administratif interne et décision peut s’avérer particulièrement difficile en ce qui concerne les fonctionnaires.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w:t>
      </w:r>
    </w:p>
    <w:p>
      <w:r>
        <w:t>- 8/11 - A/907/2020 autres moyens de contrainte ressortissant aux règles régissant les rapports internes qui sont susceptibles de s’appliquer (ATF 136 I 323 consid. 4.4 ; arrêt du Tribunal fédéral 8D_2/2018 précité consid. 6.2 et les références citées).</w:t>
      </w:r>
    </w:p>
    <w:p>
      <w:r>
        <w:t>En ce qui concerne en particulier le cahier des charges, il ne revêt en principe pas la qualité d’une décision en tant qu’il décrit les tâches qui doivent être exécutées par les agents publics concernés et comment doivent être compris les droits et obligations fixés par la loi, les ordonnances, les décisions et ordres de service. En effet, dans la mesure où il ne comporte pas de droits ou d’obligations autres que ceux qui découlent de la réglementation topique, il ne modifie pas la situation juridique des destinataires en tant que sujets de droit (arrêt du Tribunal fédéral 8D_2/2018 précité consid. 6.3). 2)</w:t>
      </w:r>
    </w:p>
    <w:p>
      <w:r>
        <w:t>Selon l’art. 29a de la Constitution fédérale de la Confédération suisse du 18 avril 1999 (Cst. - RS 101),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(ATF 143 I 344 consid. 8.2). Ces droits et obligations ne découlent pas de la garantie de l’accès au juge elle-même, mais de ceux et celles que confère ou impose à l’intéressé un état de fait visé, notamment, par la Cst., la loi ou encore une ordonnance (ATF 136 I 323 consid. 4.3). L’art. 29a Cst. garantit l’accès à un juge disposant d’un pouvoir d’examen complet des faits et du droit (ATF 137 I 235 consid. 2.5). Elle ne s’oppose cependant pas aux conditions de recevabilité habituelles du recours ou de l’action (ATF 143 I 344 consid. 8.2). Elle ne s’applique toutefois pas, notamment, aux actes internes de l’administration qui n’ont pas le caractère d’une décision (ATF 143 I 336 consid. 4.2). 3)</w:t>
      </w:r>
    </w:p>
    <w:p>
      <w:r>
        <w:t>En l’espèce, le recours est dirigé contre le courrier que l’intimé a adressé à Mme A______ le 5 février 2020 par lequel cette autorité lui a confirmé la teneur de son cahier des charges tel qu’il lui a été transmis en août 2019, le portant à son dossier et la priant de le signer.</w:t>
      </w:r>
    </w:p>
    <w:p>
      <w:r>
        <w:t>Les recourantes affirment que ce courrier constituerait une décision, susceptible de recours, en tant que les modifications apportées audit cahier des charges porteraient atteinte à leurs droits et obligations.</w:t>
      </w:r>
    </w:p>
    <w:p>
      <w:r>
        <w:t>Il ne ressort toutefois pas du dossier que tel serait le cas, en l’absence de modification de leurs fonctions, de leur classe salariale ou encore de leurs tâches, ce que les recourantes n’allèguent du reste pas. Dans ce cadre, bien que les activités de la fonction de collaborateur-trice scientifique soient énumérées de manière plus détaillée et moins générale que dans le cahier des charges de 2001, cet élément ne saurait indiquer une augmentation de celles-ci, mais répond au</w:t>
      </w:r>
    </w:p>
    <w:p>
      <w:r>
        <w:t>- 9/11 - A/907/2020 souhait des recourantes, qui ont transmis à la responsable des ressources humaines le 27 mai 2019 une version modifiée de leur cahier des charges comprenant une liste plus détaillée de leurs activités que celle figurant dans le projet leur ayant été initialement remis.</w:t>
      </w:r>
    </w:p>
    <w:p>
      <w:r>
        <w:t>Il n’en va pas différemment s’agissant des mots employés par ledit cahier des charges, comme « à la demande de » et « sur délégation de », qui figuraient déjà dans leur cahier des charges de 2001, ainsi que dans le projet leur ayant été soumis, duquel les intéressées ont d’ailleurs unilatéralement ôté ces termes, sans égard au fait que leur poste est hiérarchiquement subordonné à la conservatrice en chef du domaine des arts appliqués, qui, en cette qualité, doit leur donner des instructions. La modification litigieuse ne crée ainsi aucune nouvelle obligation à leur charge, étant précisé que les collaborateurs de l’État n’ont en principe aucun droit acquis ni de garantie d’immuabilité de leur cahier des charges (ATA/1738/2019 du 3 décembre 2019 consid. 5c). Le fait que l’évolution de leur situation professionnelle ait été discutée n’y change rien, aucune promesse ne leur ayant été faite dans ce cadre, mais de simples possibilités ont été évoquées par leur hiérarchie, ou qu’elles aient bénéficié d’un recours hiérarchique, prévu statutairement afin qu’elles puissent exprimer leur point de vue, qui ne permet pas d’aboutir à la qualification de décision de l’acte en cause.</w:t>
      </w:r>
    </w:p>
    <w:p>
      <w:r>
        <w:t>Par ailleurs, en arguant que ce cahier des charges ne pourrait s’appliquer à leur situation en lien avec leur expérience et leurs compétences, les recourantes tendent bien plus, par le biais de la présente procédure, à demander une réévaluation de leurs fonctions, les intéressées ayant du reste indiqué que l’intitulé de leur poste ne devrait plus être celui de collaboratrice, mais d’adjointes scientifiques, question qui dépasse le cadre du présent litige. Le fait qu’il puisse exister un écart entre leur expérience et compétence et le cahier des charges modifié ne conduit pas à une autre conclusion.</w:t>
      </w:r>
    </w:p>
    <w:p>
      <w:r>
        <w:t>Il s’ensuit qu’en présence d’un acte interne, le recours est irrecevable pour ce motif déjà, de sorte qu’il ne se justifie pas d’examiner plus avant la qualité pour recourir de Mme B______ ni de disjoindre les causes, par économie de procédure. 4)</w:t>
      </w:r>
    </w:p>
    <w:p>
      <w:r>
        <w:t>Au regard de cette issue et de la nature de la question à trancher pouvant être jugée de manière adéquate en procédure écrite (arrêt du Tribunal fédéral 8D_5/2018 du 4 juin 2020 consid. 3.2 et 3.3 et les références citées), il ne se justifie pas non plus d’ordonner la tenue d’une audience publique, demande au demeurant formulée seulement au dernier jour du délai fixé, prolongé à la requête des recourantes, pour les observations finales. À cela s’ajoute que les recourantes ont été en mesure de s’exprimer par écrit tant durant la procédure non contentieuse que devant la chambre de céans et de faire valoir leur point de vue et leurs arguments à plusieurs reprises.</w:t>
      </w:r>
    </w:p>
    <w:p>
      <w:r>
        <w:t>- 10/11 - A/907/2020</w:t>
      </w:r>
    </w:p>
    <w:p>
      <w:r>
        <w:t>À titre superfétatoire, il sera relevé que le droit d’être entendus des recourantes a été pleinement respecté, tant dans la phase de discussion du cahier des charges que dans le cadre du recours hiérarchique, puis devant la chambre administrative, étant relevé que cette dernière leur a concédé un long délai pour produire un recours complété. 5)</w:t>
      </w:r>
    </w:p>
    <w:p>
      <w:r>
        <w:t>Vu l’issue du litige, un émolument de CHF 500.- sera mis à la charge solidaire des recourantes (art. 87 al. 1 LPA), et aucune indemnité de procédure ne leur sera allouée, pas plus qu’à l’intimée, qui dispose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