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ATA/655/2017 vom 13. Juni 2017</w:t>
      </w:r>
    </w:p>
    <w:p>
      <w:r>
        <w:t>GE Cour de justice, 2017-06-13, FR</w:t>
      </w:r>
    </w:p>
    <w:p>
      <w:r>
        <w:rPr>
          <w:b/>
        </w:rPr>
        <w:t xml:space="preserve">Quelle: </w:t>
      </w:r>
      <w:r>
        <w:t>https://mcp.opencaselaw.ch/entscheid/ge_gerichte_ATA_655_2017</w:t>
      </w:r>
    </w:p>
    <w:p>
      <w:r>
        <w:t>FR: GE_GERICHTE ATA/655/2017 du 13 juin 2017</w:t>
      </w:r>
    </w:p>
    <w:p>
      <w:r>
        <w:t>IT: GE_GERICHTE ATA/655/2017 del 13 giugno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En vertu de l'art. 64 LPA, le recours est formé par écrit et adressé à la juridiction administrative appelée à en connaître.</w:t>
      </w:r>
    </w:p>
    <w:p>
      <w:r>
        <w:t>À teneur des art. 12 ss de la loi fédérale complétant le Code civil suisse du 30 mars 1911 (Livre cinquième : Droit des obligations - CO - RS 220) et</w:t>
      </w:r>
    </w:p>
    <w:p>
      <w:r>
        <w:t>- 4/6 - A/4229/2016 notamment de l'art. 14 al. 1 CO, la forme écrite implique que la signature doit être écrite à la main par celui qui s'oblige.</w:t>
      </w:r>
    </w:p>
    <w:p>
      <w:r>
        <w:t>De jurisprudence constante, la signature olographe originale est une condition nécessaire que doit respecter tout acte pour être considéré comme un recours (ATA/559/2016 du 28 juin 2016 et les références citées).</w:t>
      </w:r>
    </w:p>
    <w:p>
      <w:r>
        <w:t>Selon le droit actuellement en vigueur, le défaut de signature est cependant un vice réparable si la signature est ajoutée pendant le délai de recours (ATF 125 I 166 ; art. 65 al. 3 LPA ; art. 52 al. 2 de la loi fédérale sur la procédure administrative du 20 décembre 1968 - PA - RS 172.021). Toutefois, pour éviter tout reproche de formalisme excessif, l’autorité de recours qui constate une telle carence doit impartir un bref délai au recourant pour venir signer l’acte (ATF 114 Ib 20 consid. 2a ; arrêt du Tribunal fédéral 1C_39/2013 du 11 mars 2013 consid. 2).</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(ATA/759/2016 précité consid. 2 ; ATA/916/2015 précité consid. 2b et jurisprudence citée).</w:t>
      </w:r>
    </w:p>
    <w:p>
      <w:r>
        <w:t>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En outre, selon la jurisprudence, il convient d’appliquer par analogie la notion de cas de force majeure de l’art. 16 al. 1 LPA afin d’examiner si l’intéressé a été empêché sans sa faute de verser l’avance de frais dans le délai fixé. Tombent sous cette notion les événements extraordinaires et imprévisibles qui surviennent en dehors de la sphère d’activité de l’intéressé et qui s’imposent à lui de façon irrésistible (ATA/416/2017 du 11 avril 2017 et la jurisprudence citée).</w:t>
      </w:r>
    </w:p>
    <w:p>
      <w:r>
        <w:rPr>
          <w:b/>
        </w:rPr>
        <w:t>E. 3</w:t>
      </w:r>
    </w:p>
    <w:p>
      <w:r>
        <w:t>a. En l’espèce, la recourante n’a pas transmis au TAPI un exemplaire signé de son recours dans le délai que ce dernier lui avait accordé par pli recommandé.</w:t>
      </w:r>
    </w:p>
    <w:p>
      <w:r>
        <w:t>b. De plus, la recourante n’a pas versé, dans le délai de paiement imparti par le TAPI et échéant au 12 janvier 2017 – qui constitue un délai raisonnable au sens de l’art. 86 al. 1 LPA – l’avance de frais que cette juridiction lui avait demandée.</w:t>
      </w:r>
    </w:p>
    <w:p>
      <w:r>
        <w:t>- 5/6 - A/4229/2016</w:t>
      </w:r>
    </w:p>
    <w:p>
      <w:r>
        <w:t>c. Par ailleurs, la recourante ne fait état d’aucune circonstance propre à envisager un empêchement non fautif d’accomplir ces actes.</w:t>
      </w:r>
    </w:p>
    <w:p>
      <w:r>
        <w:rPr>
          <w:b/>
        </w:rPr>
        <w:t>E. 4</w:t>
      </w:r>
    </w:p>
    <w:p>
      <w:r>
        <w:t>C’est en conséquence, conformément au droit, que le TAPI a déclaré son recours irrecevable pour ces motifs.</w:t>
      </w:r>
    </w:p>
    <w:p>
      <w:r>
        <w:t>En application de l’art. 87 al. 1 LPA, la juridiction administrative statue sur les frais de procédure. Il incombe à la partie qui succombe, soit à Mme A______, de les supporter. Ils seront arrêtés en l’espèce à CHF 500.-.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