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ATA/654/2013 vom 1. Oktober 2013</w:t>
      </w:r>
    </w:p>
    <w:p>
      <w:r>
        <w:t>GE Cour de justice, 2013-10-01, FR</w:t>
      </w:r>
    </w:p>
    <w:p>
      <w:r>
        <w:rPr>
          <w:b/>
        </w:rPr>
        <w:t xml:space="preserve">Quelle: </w:t>
      </w:r>
      <w:r>
        <w:t>https://mcp.opencaselaw.ch/entscheid/ge_gerichte_ATA_654_2013</w:t>
      </w:r>
    </w:p>
    <w:p>
      <w:r>
        <w:t>FR: GE_GERICHTE ATA/654/2013 du 1 octobre 2013</w:t>
      </w:r>
    </w:p>
    <w:p>
      <w:r>
        <w:t>IT: GE_GERICHTE ATA/654/2013 del 1 ottobre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86 LPA, la juridiction saisie d’un recours invite le recourant à faire une avance destinée à couvrir les frais de procédure et les émoluments présumables. Elle fixe à cet effet un délai suffisant. Si l’avance n’est pas faite dans le délai imparti, la juridiction déclare le recours irrecevable.</w:t>
      </w:r>
    </w:p>
    <w:p>
      <w:r>
        <w:t>- 4/6 - A/3245/2012</w:t>
      </w:r>
    </w:p>
    <w:p>
      <w:r>
        <w:rPr>
          <w:b/>
        </w:rPr>
        <w:t>E. 3</w:t>
      </w:r>
    </w:p>
    <w:p>
      <w:r>
        <w:t>S’agissant d’un acte soumis à réception, telle une communication de procédure, la notification est réputée faite au moment où l’envoi entre dans la sphère de pouvoir de son destinataire (P. MOOR, Droit administratif, vol. 2, 3ème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Un envoi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(ATF 123 III 493 ; 119 II 149 consid. 2 ; 119 V 94 consid. 4b/aa, et les références citées). S’agissant d’une décision qui n’est remise que contre signature du destinataire ou d’un tiers habilité, elle est réputée au plus tard sept jours après la première tentative infructueuse de présentation (art. 62 al. 4 LPA).</w:t>
      </w:r>
    </w:p>
    <w:p>
      <w:r>
        <w:rPr>
          <w:b/>
        </w:rPr>
        <w:t>E. 4</w:t>
      </w:r>
    </w:p>
    <w:p>
      <w:r>
        <w:t>La restitution pour inobservation d’un délai imparti par l’autorité peut être accordée après cette échéance si le requérant ou son mandataire a été empêché sans sa faute d’agir dans le délai fixé. La demande motivée doit être présentée dans les dix jours à compter de celui où l’empêchement a cessé (art. 16 al. 3 LPA).</w:t>
      </w:r>
    </w:p>
    <w:p>
      <w:r>
        <w:t>Selon une jurisprudence constante, tombent sous le coup de cette dernière disposition les événements extraordinaires et imprévisibles qui surviennent en dehors de la sphère d’activité de l’intéressé et qui s’imposent à lui de façon irrésistible (ATA/398/2011 du 21 juin 2011 et références citées ; SJ 1999 I p. 119 ; RDAF 1991 p. 45 et les références citées ; T. GUHL, Das Schweizerische Obligationenrecht, 9ème éd., 2000, p. 229).</w:t>
      </w:r>
    </w:p>
    <w:p>
      <w:r>
        <w:rPr>
          <w:b/>
        </w:rPr>
        <w:t>E. 5</w:t>
      </w:r>
    </w:p>
    <w:p>
      <w:r>
        <w:t>En l'espèce, il est établi que le courrier recommandé adressé par le TAPI n'a pas été retiré par le recourant dans le délai de garde. Ce dernier indique ne pas avoir trouvé, dans sa boîte aux lettres, d'avis de retrait déposé par le facteur. Son concierge a adressé à la chambre administrative un courrier dont il ressort que les plis déposés des employés de la poste dans la boîte aux lettres de M. L______ ont, en tout cas à une occasion, été subtilisés par des tiers et jetés à la poubelle. Il n'est en effet pas envisageable que l'intéressé ait lui-même ouvert une enveloppe contenant des billets d'une agence de voyages qui lui étaient destinés, et les ait jetés.</w:t>
      </w:r>
    </w:p>
    <w:p>
      <w:r>
        <w:t>Dans ces circonstances, la chambre administrative admettra que l'intéressé a été empêché, sans faute de sa part, de procéder au versement de l'avance de frais dans le délai qui lui avait été imparti.</w:t>
      </w:r>
    </w:p>
    <w:p>
      <w:r>
        <w:t>- 5/6 - A/3245/2012</w:t>
      </w:r>
    </w:p>
    <w:p>
      <w:r>
        <w:t>En conséquence, le recours sera admis et le jugement du TAPI du 3 décembre 2012 sera annulé, la cause sera retournée à cette juridiction afin qu'elle l'instruise.</w:t>
      </w:r>
    </w:p>
    <w:p>
      <w:r>
        <w:rPr>
          <w:b/>
        </w:rPr>
        <w:t>E. 6</w:t>
      </w:r>
    </w:p>
    <w:p>
      <w:r>
        <w:t>Au vu de cette issue, aucun émolument ne sera perçu. Aucune indemnité ne sera allouée à M. L______, qui n'y a pas conclu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