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ATA/653/2017 vom 13. Juni 2017</w:t>
      </w:r>
    </w:p>
    <w:p>
      <w:r>
        <w:t>GE Cour de justice, 2017-06-13, FR</w:t>
      </w:r>
    </w:p>
    <w:p>
      <w:r>
        <w:rPr>
          <w:b/>
        </w:rPr>
        <w:t xml:space="preserve">Quelle: </w:t>
      </w:r>
      <w:r>
        <w:t>https://mcp.opencaselaw.ch/entscheid/ge_gerichte_ATA_653_2017</w:t>
      </w:r>
    </w:p>
    <w:p>
      <w:r>
        <w:t>FR: GE_GERICHTE ATA/653/2017 du 13 juin 2017</w:t>
      </w:r>
    </w:p>
    <w:p>
      <w:r>
        <w:t>IT: GE_GERICHTE ATA/653/2017 del 13 giugno 2017</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Le litige porte sur le refus de l'OCPM de renouveler l'autorisation de séjour pour études du recourant ainsi que sur le renvoi de ce dernier de Suisse, éléments confirmés par le TAPI dans son jugement du 27 juin 2016.</w:t>
      </w:r>
    </w:p>
    <w:p>
      <w:r>
        <w:rPr>
          <w:b/>
        </w:rPr>
        <w:t>E. 3</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w:t>
      </w:r>
    </w:p>
    <w:p>
      <w:r>
        <w:rPr>
          <w:b/>
        </w:rPr>
        <w:t>E. 4</w:t>
      </w:r>
    </w:p>
    <w:p>
      <w:r>
        <w:t>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w:t>
      </w:r>
    </w:p>
    <w:p>
      <w:r>
        <w:rPr>
          <w:b/>
        </w:rPr>
        <w:t>E. 5</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12 avril 2017 [ci-après : Directives LEtr] ch. 5.1.2).</w:t>
      </w:r>
    </w:p>
    <w:p>
      <w:r>
        <w:t>- 5/9 - A/624/2016</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(ATA/457/2016 du 31 mai 2016 consid. 5 ;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rPr>
          <w:b/>
        </w:rPr>
        <w:t>E. 6</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w:t>
      </w:r>
    </w:p>
    <w:p>
      <w:r>
        <w:t>- 6/9 - A/624/2016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7</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w:t>
      </w:r>
    </w:p>
    <w:p>
      <w:r>
        <w:rPr>
          <w:b/>
        </w:rPr>
        <w:t>E. 8</w:t>
      </w:r>
    </w:p>
    <w:p>
      <w:r>
        <w:t>En l’espèce, le recourant, maintenant âgé de 31 ans, est arrivé en Suisse il y a sept ans environ. Il était, à son arrivée, porteur d’une licence tunisienne et n’a pas réussi, pendant cette longue période, à terminer un baccalauréat universitaire en Suisse, malgré les modifications de son cursus qui ont été autorisées et les ultimes chances qui lui ont été données par l’autorité administrative.</w:t>
      </w:r>
    </w:p>
    <w:p>
      <w:r>
        <w:t>Dans ces circonstances, l’appréciation de l’OCPM, confirmée par le TAPI, doit être confirmée. Le but du séjour du recourant doit être considéré comme atteint au sens de la jurisprudence rappelée ci-dessus.</w:t>
      </w:r>
    </w:p>
    <w:p>
      <w:r>
        <w:rPr>
          <w:b/>
        </w:rPr>
        <w:t>E. 9</w:t>
      </w:r>
    </w:p>
    <w:p>
      <w:r>
        <w:t>Il n’est pas nécessaire d’examiner les conditions de l’existence d’un logement approprié et de moyens financiers nécessaires (art. 27 al. 1 let. b et c LEtr), les conditions étant cumulatives.</w:t>
      </w:r>
    </w:p>
    <w:p>
      <w:r>
        <w:t>- 7/9 - A/624/2016</w:t>
      </w:r>
    </w:p>
    <w:p>
      <w:r>
        <w:rPr>
          <w:b/>
        </w:rPr>
        <w:t>E. 10</w:t>
      </w:r>
    </w:p>
    <w:p>
      <w:r>
        <w:t>Le recourant n’a jamais allégué que son retour dans son pays d’origine serait impossible, illicite ou inexigible au regard de l’art. 83 LEtr, et le dossier ne laisse pas apparaître d'éléments qui tendraient à démontrer le contraire.</w:t>
      </w:r>
    </w:p>
    <w:p>
      <w:r>
        <w:rPr>
          <w:b/>
        </w:rPr>
        <w:t>E. 11</w:t>
      </w:r>
    </w:p>
    <w:p>
      <w:r>
        <w:t>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