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ATA/652/2022 vom 23. Juni 2022</w:t>
      </w:r>
    </w:p>
    <w:p>
      <w:r>
        <w:t>GE Cour de justice, 2022-06-23, FR</w:t>
      </w:r>
    </w:p>
    <w:p>
      <w:r>
        <w:rPr>
          <w:b/>
        </w:rPr>
        <w:t xml:space="preserve">Quelle: </w:t>
      </w:r>
      <w:r>
        <w:t>https://mcp.opencaselaw.ch/entscheid/ge_gerichte_ATA_652_2022</w:t>
      </w:r>
    </w:p>
    <w:p>
      <w:r>
        <w:t>FR: GE_GERICHTE ATA/652/2022 du 23 juin 2022</w:t>
      </w:r>
    </w:p>
    <w:p>
      <w:r>
        <w:t>IT: GE_GERICHTE ATA/652/2022 del 23 giugno 2022</w:t>
      </w:r>
    </w:p>
    <w:p>
      <w:pPr>
        <w:pStyle w:val="Heading2"/>
      </w:pPr>
      <w:r>
        <w:t>Erwägungen</w:t>
      </w:r>
    </w:p>
    <w:p>
      <w:r>
        <w:rPr>
          <w:b/>
        </w:rPr>
        <w:t>E. 12</w:t>
      </w:r>
    </w:p>
    <w:p>
      <w:r>
        <w:t>septembre 1985 - LPA - E 5 10) devant la juridiction compétente. 2) a. Selon l'art. 57 let. c LPA in initio, les décisions incidentes peuvent faire l'objet d'un recours si elles risquent de causer un préjudice irréparable. Selon la même disposition in fine, elles peuvent également faire l'objet d'un tel recours si cela conduisait immédiatement à une solution qui éviterait une procédure probatoire longue et coûteuse.</w:t>
      </w:r>
    </w:p>
    <w:p>
      <w:r>
        <w:t>b. L'art. 57 let. c LPA a la même teneur que l'art. 93 al. 1 let. a et b de la loi fédérale sur le Tribunal fédéral du 17 juin 2005 (LTF - RS 173.110). Selon la</w:t>
      </w:r>
    </w:p>
    <w:p>
      <w:r>
        <w:t>- 5/9 - A/390/2022 jurisprudence constante du Tribunal fédéral, le préjudice irréparable suppose que le recourant ait un intérêt digne de protection à ce que la décision attaquée soit immédiatement annulée ou modifiée (ATF 127 II 132 consid. 2a ; 126 V 244 consid. 2c ; 125 II 613 consid. 2a ; Thierry TANQUEREL, Manuel de droit administratif, 2ème éd. 2018 p. 432 n. 1265). Un préjudice est irréparable lorsqu'il ne peut être ultérieurement réparé par une décision finale entièrement favorable au recourant (ATF 138 III 46 consid. 1.2 ; 134 III 188 consid. 2.1 et 2.2 ; 133 II 629 consid. 2.3.1). Un intérêt économique ou un intérêt tiré du principe de l'économie de la procédure peut constituer un tel préjudice (ATF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Un dommage de pur fait, tel que la prolongation de la procédure ou un accroissement des frais de celle-ci, n'est notamment pas considéré comme un dommage irréparable de ce point de vue (ATF 133 IV 139 précité consid. 4 ; 131 I 57 consid. 1 ; 129 III 107 consid. 1.2.1).</w:t>
      </w:r>
    </w:p>
    <w:p>
      <w:r>
        <w:t>c. La chambre administrative a précisé à plusieurs reprises que l'art. 57 let. c LPA devait être interprété à la lumière de ces principes (ATA/1622/2017 du 19 décembre 2017 consid. 4c et les arrêts cités ; cette interprétation est critiquée par certains auteurs qui l'estiment trop restrictive : Stéphane GRODECKI/ Romain JORDAN, Questions choisies de procédure administrative, SJ 2014 II p. 458 ss).</w:t>
      </w:r>
    </w:p>
    <w:p>
      <w:r>
        <w:t>d.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ATA/1622/2017 précité consid. 4d ; ATA/1217/2015 du 10 novembre 2015 consid. 2d). 3) a. En tant qu'employée de la ville, la recourante est soumise au statut du personnel de la ville de Genève du 29 juin 2010 (ci-après : SVPG - LC 21 151).</w:t>
      </w:r>
    </w:p>
    <w:p>
      <w:r>
        <w:t>b. Lorsque l'instruction d'une cause le justifie, le CA peut confier une enquête administrative à une ou plusieurs personnes choisies au sein ou à l'extérieur de l'administration municipale (art. 97 SPVG).</w:t>
      </w:r>
    </w:p>
    <w:p>
      <w:r>
        <w:t>L'art. 37 SPVG dispose que la procédure de licenciement est régie par les art. 96 ss SPVG, ainsi que par la LPA.</w:t>
      </w:r>
    </w:p>
    <w:p>
      <w:r>
        <w:t>Conformément à l'art. 96 al. 2 SPVG, les membres du personnel ont la possibilité de s'exprimer par écrit sur les motifs invoqués à l'appui de la décision ; les membres du personnel ont également droit à une audition orale devant</w:t>
      </w:r>
    </w:p>
    <w:p>
      <w:r>
        <w:t>- 6/9 - A/390/2022 l'autorité compétente pour rendre la décision, ou une délégation de celle-ci s'il s'agit du CA, avec le droit de se faire assister.</w:t>
      </w:r>
    </w:p>
    <w:p>
      <w:r>
        <w:t>Selon l'art. 99 SPVG, lorsqu'il s'avère qu'un membre du personnel est passible d'un licenciement au sens de l'art. 34 al. 2 let. a à c du statut, le CA ouvre une enquête administrative qu'il confie à une ou plusieurs personnes choisies au sein ou à l'extérieur de l'administration municipale au sens de l'art. 97 (al. 1) ; un licenciement ne peut être prononcé sans que la personne intéressée ait pu préalablement faire valoir ses observations sur les motifs avancés pour le justifier (al. 2) ; dans les cas de licenciement fondés sur les art. 30, 32 et 34, la personne intéressée peut demander à être entendue oralement par une délégation du CA ; la personne intéressée a le droit de se faire assister (al. 3) ; lorsque le licenciement a été précédé d'une suspension, il peut, si les conditions de l'art. 30 sont remplies, être prononcé avec effet à la date de la suspension (al. 4). 4) a. Selon la jurisprudence de la chambre administrative, l’ouverture d’une enquête administrative n’engendre pas un préjudice irréparable, dès lors qu’une décision finale suite à l’enquête administrative, dans l’hypothèse où elle serait entièrement favorable à la recourante, permettrait de réparer une éventuelle atteinte, notamment à sa personnalité (ATA/1018/2018 du 2 octobre 2018 consid. 11a).</w:t>
      </w:r>
    </w:p>
    <w:p>
      <w:r>
        <w:t>b. Le fait que le membre du personnel conserve son traitement pendant sa libération de l’obligation de travailler, ce qui est le cas de la recourante, exclut une quelconque atteinte à ses intérêts économiques (ATA/184/2020 du 18 février 2020 consid. 4 ; ATA/231/2017 du 22 février 2017 consid. 4). S’agissant de l’atteinte à la réputation et à l’avenir professionnel, une décision de libération de l’obligation de travailler n'est en soi pas susceptible de causer un préjudice irréparable puisqu’une décision finale entièrement favorable à la recourante permettrait de la réparer (ATA/184/2020 précité consid. 4 ; ATA/1020/2018 du 2 octobre 2018 consid. 4b ; ATA/231/2017 précité consid. 5).</w:t>
      </w:r>
    </w:p>
    <w:p>
      <w:r>
        <w:t>c. En l’occurrence, la recourante n’expose pas en quoi la décision litigieuse est susceptible de lui causer un préjudice irréparable. Elle se limite à relever que, dans le cadre du mandat confié à l’enquêteur externe, elle ne bénéficierait pas des mêmes droits qu’en cas d’enquête administrative. Elle se prévaut également d’une perte d’indemnités en lien avec les horaires irréguliers ainsi que de l’effet stigmatisant de la suspension prononcée.</w:t>
      </w:r>
    </w:p>
    <w:p>
      <w:r>
        <w:t>S’agissant d’abord de la mise en œuvre d’un « état des lieux » par un expert externe, force est de constater qu’un rapport a été rendu le 21 février 2022. Les griefs soulevés dans ce contexte n’ont dès lors plus d’objet. On ne voit du reste pas en quoi la mise en œuvre d’un tel mandat serait susceptible d’engendrer un préjudice irréparable, en particulier s’agissant de la violation alléguée de ses droits procéduraux, puisque la recourante a eu l’occasion d’être entendue par l’expert, ce</w:t>
      </w:r>
    </w:p>
    <w:p>
      <w:r>
        <w:t>- 7/9 - A/390/2022 qu’elle a renoncé à faire. Elle aura à nouveau l’occasion de s’exprimer dans le cadre de l’enquête administrative et pourra se plaindre, en cas de sanction prise à son encontre, de l’éventuelle violation de ses droits procéduraux dans le cadre d’un recours devant la chambre administrative.</w:t>
      </w:r>
    </w:p>
    <w:p>
      <w:r>
        <w:t>La chambre de céans relève ensuite que la recourante conserve son traitement pendant sa libération de l’obligation de travailler, ce qui exclut une quelconque atteinte à ses intérêts économiques. Dans ses écritures, la recourante se plaint certes de la perte d’indemnités, en lien avec les horaires irréguliers. Elle n’apporte toutefois aucune pièce démontrant l’existence d’un dommage financier. Que ce soit au stade du recours ou de la réplique, pourtant consécutive au rejet de la requête en restitution de l’effet suspensif, l’intéressée ne fournit pas non plus de précision quant à sa situation financière (éléments de fortune, autres revenus, charges etc.). Il n’est dès lors nullement établi qu’un éventuel dommage financier l’exposerait à un préjudice difficilement réparable, étant encore relevé que la réalisation d’heures supplémentaires ne devrait pas être la règle et ne constitue pas une assurance d’un gain régulier.</w:t>
      </w:r>
    </w:p>
    <w:p>
      <w:r>
        <w:t>Quant à l'atteinte à la réputation et à l'avenir professionnel de l’intéressée, force est de rappeler qu’à teneur de la jurisprudence constante, une décision de libération de l'obligation de travailler n'est en soi pas susceptible de causer un préjudice irréparable puisqu'une décision finale entièrement favorable à l’intéressée permettrait de la réparer.</w:t>
      </w:r>
    </w:p>
    <w:p>
      <w:r>
        <w:t>La seconde hypothèse de l’art. 57 let. c LPA, à savoir l’obtention immédiate d’une décision finale permettant d’éviter une procédure probatoire longue et coûteuse en cas d’admission des recours, n’est pas davantage réalisée dans la mesure où l’intimée a ordonné l’ouverture d’une enquête administrative par décision du 2 mars 2022. Il sera du reste rappelé qu’un dommage de pur fait, comme la prolongation de la procédure ou un accroissement des frais de celle-ci, n’est pas considéré comme irréparable. 5)</w:t>
      </w:r>
    </w:p>
    <w:p>
      <w:r>
        <w:t>Vu l'issue de la procédure, un émolument de CHF 1’500.- sera mis à la charge de la recourante (art. 87 al. 1 LPA). Aucune indemnité de procédure ne sera allouée, étant relevé que l’intimée dispose de son propre service juridique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