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ATA/652/2014 vom 19. August 2014</w:t>
      </w:r>
    </w:p>
    <w:p>
      <w:r>
        <w:t>GE Cour de justice, 2014-08-19, FR</w:t>
      </w:r>
    </w:p>
    <w:p>
      <w:r>
        <w:rPr>
          <w:b/>
        </w:rPr>
        <w:t xml:space="preserve">Quelle: </w:t>
      </w:r>
      <w:r>
        <w:t>https://mcp.opencaselaw.ch/entscheid/ge_gerichte_ATA_652_2014</w:t>
      </w:r>
    </w:p>
    <w:p>
      <w:r>
        <w:t>FR: GE_GERICHTE ATA/652/2014 du 19 août 2014</w:t>
      </w:r>
    </w:p>
    <w:p>
      <w:r>
        <w:t>IT: GE_GERICHTE ATA/652/2014 del 19 agosto 2014</w:t>
      </w:r>
    </w:p>
    <w:p>
      <w:pPr>
        <w:pStyle w:val="Heading2"/>
      </w:pPr>
      <w:r>
        <w:t>Regeste</w:t>
      </w:r>
    </w:p>
    <w:p>
      <w:r>
        <w:t>Résumé: Un conseiller en assurance peut faire appel à un apporteur d'affaires étranger, afin de conclure des contrats à Genève. Toutefois, s'il désir déduire de son revenu les commissions rétrocédées à cet apporteur d'affaires étranger, le contribuable doit démontrer le lien de connexité entre celles-ci et le revenu de son activité genevoise.</w:t>
      </w:r>
    </w:p>
    <w:p>
      <w:pPr>
        <w:pStyle w:val="Heading2"/>
      </w:pPr>
      <w:r>
        <w:t>Erwägungen</w:t>
      </w:r>
    </w:p>
    <w:p>
      <w:r>
        <w:rPr>
          <w:b/>
        </w:rPr>
        <w:t>E. 12</w:t>
      </w:r>
    </w:p>
    <w:p>
      <w:r>
        <w:t>septembre 1985 - LPA - E 5 10 ; art. 140 de la loi fédérale sur l’impôt fédéral direct du 14 décembre 1990 - LIFD - RS 642.11, par renvoi de l’art. 145 LIFD). 2) a. Aux termes de l’art. 9 al. 1 de la loi fédérale sur l’harmonisation des impôts directs des cantons et des communes du 14 décembre 1990 (LHID - RS 642.14),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w:t>
      </w:r>
    </w:p>
    <w:p>
      <w:r>
        <w:t>Conformément à l’art. 29 de la loi genevoise sur l’imposition des personnes physiques du 27 septembre 2009 (LIPP - D 3 08), intitulé « déductions liées à l’exercice d’une activité lucrative dépendante », doivent être déduits du revenu « les frais professionnels », fixés forfaitairement. La justification de frais effectifs plus élevés demeure cependant réservée.</w:t>
      </w:r>
    </w:p>
    <w:p>
      <w:r>
        <w:t>La loi n’indique pas quel lien de connexité doit exister entre la dépense et l’acquisition du revenu.</w:t>
      </w:r>
    </w:p>
    <w:p>
      <w:r>
        <w:t>En droit fédéral, l’art. 26 al. 1 LIFD énonce que les frais professionnels qui peuvent être déduits dans le cadre d’une activité dépendante sont, notamment, certains frais de déplacement et de repas, ainsi que « les autres frais indispensables à l’exercice de la profession ». Ces frais professionnels sont estimés forfaitairement par l’administration fédérale, mais le contribuable « peut justifier des frais plus élevés » (art. 26 al. 2 LIFD).</w:t>
      </w:r>
    </w:p>
    <w:p>
      <w:r>
        <w:t>D’après la jurisprudence,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les références citées).</w:t>
      </w:r>
    </w:p>
    <w:p>
      <w:r>
        <w:t>Il convient donc de s’inspirer du droit fédéral dans l’application de l’art. 29 LIPP.</w:t>
      </w:r>
    </w:p>
    <w:p>
      <w:r>
        <w:t>Les notions de « frais indispensables à l’exercice de la profession » (art. 26 LIFD) et de « frais nécessaires à l’acquisition du revenu » (art. 9 al. 1 LHID)</w:t>
      </w:r>
    </w:p>
    <w:p>
      <w:r>
        <w:t>- 6/8 - A/1766/2012 supposent non seulement qu’il existe un lien étroit et direct entre la dépense et le revenu, mais que la dépense soit nécessaire à l’acquisition du celui-ci.</w:t>
      </w:r>
    </w:p>
    <w:p>
      <w:r>
        <w:t>Selon le Tribunal fédéral, si cette nécessité doit être établie, elle n’implique pas que le contribuable ne puisse pas acquérir le revenu du travail sans les dépenses professionnelles ni qu’il existe une obligation légale de payer la charge correspondante.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124 II 29 consid. 3a et les nombreuses références citées ; arrêts du Tribunal fédéral 2C_288/2008 du 1er octobre 2008 consid. 4.3 et 2C_260/2008 du 6 août 2008 consid. 2.2 ; Xavier OBERSON, Droit fiscal suisse, 2012, p. 167 et les arrêts cités).</w:t>
      </w:r>
    </w:p>
    <w:p>
      <w:r>
        <w:t>b.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ATA/339/2014 du 13 mai 2014 ; ATA/232/2014 du 8 avril 2014 ; ATA/532/2013 du 27 août 2013 et les références citées).</w:t>
      </w:r>
    </w:p>
    <w:p>
      <w:r>
        <w:t>De plus, la possibilité de déduire les frais d’acquisition du revenu est conditionnée à l’apport de la preuve, par le contribuable, de leur nécessité au regard de l’activité poursuivie (arrêts du Tribunal fédéral 2C_916/2012 du 28 février 2013 consid. 4.1 et 2C_132/2010 du 17 août 2010 consid. 3.2).</w:t>
      </w:r>
    </w:p>
    <w:p>
      <w:r>
        <w:t>c. En l’espèce, l’AFC-GE a accepté de défalquer du revenu de M. A______ les commissions versées à ses deux apporteurs d’affaires domiciliés en Suisse, sans requérir d’autres preuves que les quittances établies par le contribuable, mais a refusé cette défalcation pour les commissions versées à M. C______, son apporteur d’affaires vivant en Italie.</w:t>
      </w:r>
    </w:p>
    <w:p>
      <w:r>
        <w:t>Un conseiller en assurances se doit de faire appel aux services d’un apporteur d’affaires afin de trouver de nouveaux clients désireux de souscrire une assurance, et par conséquent afin d’acquérir un revenu. Au regard des frontières de la Suisse et de l’augmentation de la population en zone frontalière, il peut être utile à un conseiller en assurances de bénéficier d’un apporteur d’affaires étranger et, partant, de verser des commissions à l’étranger.</w:t>
      </w:r>
    </w:p>
    <w:p>
      <w:r>
        <w:t>- 7/8 - A/1766/2012</w:t>
      </w:r>
    </w:p>
    <w:p>
      <w:r>
        <w:t>d. L’exigence d’un lien étroit et direct entre les commissions versées à un tiers domicilié à D______, soit à plus de 500 km, et des contrats en assurance conclus à Genève n’en devait pas moins être établie par le contribuable. En effet, même si ce dernier a expliqué que M. C______ avait à disposition un large réseau de connaissances au sein des sociétés multinationales suisses et italiennes, qui lui avait permis de conclure des contrats en zone frontalière, la connexité avec le revenu de son activité genevoise n’est toujours pas établie.</w:t>
      </w:r>
    </w:p>
    <w:p>
      <w:r>
        <w:t>Force est en effet de constater que M. A______ n’a pas prouvé ses dires en produisant des documents pertinents, tels que le contrat de courtage conclu avec M. C______ ou encore des contrats d’assurance conclus grâce à ce dernier qui mentionneraient son entremise. Le contribuable ne peut pas se retrancher derrière son obligation contractuelle de confidentialité vis-à-vis de B______ ; il lui suffisait au demeurant de produire lesdits documents caviardés ou encore des extraits de ceux-ci, sans dévoiler de données confidentielles. Au surplus, on ne voit pas en quoi la LPD s’opposerait à la production dans un cadre judiciaire d’un éventuel contrat conclu entre M. A______ et M. C______. 3)</w:t>
      </w:r>
    </w:p>
    <w:p>
      <w:r>
        <w:t>En conséquence, le recours sera rejeté. 4)</w:t>
      </w:r>
    </w:p>
    <w:p>
      <w:r>
        <w:t>Vu l’issue du litige, un émolument de CHF 800.-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