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ATA/650/2012 vom 25. September 2012</w:t>
      </w:r>
    </w:p>
    <w:p>
      <w:r>
        <w:t>GE Cour de justice, 2012-09-25, FR</w:t>
      </w:r>
    </w:p>
    <w:p>
      <w:r>
        <w:rPr>
          <w:b/>
        </w:rPr>
        <w:t xml:space="preserve">Quelle: </w:t>
      </w:r>
      <w:r>
        <w:t>https://mcp.opencaselaw.ch/entscheid/ge_gerichte_ATA_650_2012</w:t>
      </w:r>
    </w:p>
    <w:p>
      <w:r>
        <w:t>FR: GE_GERICHTE ATA/650/2012 du 25 septembre 2012</w:t>
      </w:r>
    </w:p>
    <w:p>
      <w:r>
        <w:t>IT: GE_GERICHTE ATA/650/2012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w:t>
      </w:r>
    </w:p>
    <w:p>
      <w:r>
        <w:rPr>
          <w:b/>
        </w:rPr>
        <w:t>E. 3</w:t>
      </w:r>
    </w:p>
    <w:p>
      <w:r>
        <w:t>a.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w:t>
      </w:r>
    </w:p>
    <w:p>
      <w:r>
        <w:t>b. Pour examiner si l’intéressé a été « empêché sans sa faute d’agir dans le délai fixé »,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(ATA/294/2009 du 16 juin 2009 ; SJ 1999 I p. 119 ; RDAF 1991 p. 45 ; T. GUHL, Das Schweizerische Obligationenrecht, 9ème éd., 2000, p. 229, et les références citées).</w:t>
      </w:r>
    </w:p>
    <w:p>
      <w:r>
        <w:t>- 4/5 - A/783/2012</w:t>
      </w:r>
    </w:p>
    <w:p>
      <w:r>
        <w:rPr>
          <w:b/>
        </w:rPr>
        <w:t>E. 4</w:t>
      </w:r>
    </w:p>
    <w:p>
      <w:r>
        <w:t>En l’espèce, K______ ne conteste pas que le TAPI a envoyé le courrier sollicitant l’avance de frais à son adresse.</w:t>
      </w:r>
    </w:p>
    <w:p>
      <w:r>
        <w:t>La circonstance particulière mise en avant est le fait que sa fiduciaire, suite à un litige, ne lui aurait pas transmis cette demande. Il sied de relever à cet égard que le recours interjeté par-devant le TAPI est signé sur le papier en-tête de la recourante et indique sa propre adresse, sans qu’un mandataire ne soit constitué. En tout état, selon une jurisprudence constante, le contribuable demeure responsable de la faute ou du manquement du mandataire qu’il a choisi (Arrêt du Tribunal fédéral 1C_494/2011 du 31 juillet 2012, c. 3.2 ; ATA/554/2012 du 21 août 2012; ATA/296/2010 du 4 mai 2010)</w:t>
      </w:r>
    </w:p>
    <w:p>
      <w:r>
        <w:t>Dans ces circonstances, le TAPI ne pouvait que déclarer son recours irrecevable.</w:t>
      </w:r>
    </w:p>
    <w:p>
      <w:r>
        <w:rPr>
          <w:b/>
        </w:rPr>
        <w:t>E. 5</w:t>
      </w:r>
    </w:p>
    <w:p>
      <w:r>
        <w:t>Le recours sera rejeté. Un émolument de CHF 500.- sera mis à la charge de la recourante,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