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ATA/64/2009 vom 4. Februar 2009</w:t>
      </w:r>
    </w:p>
    <w:p>
      <w:r>
        <w:t>GE Cour de justice, 2009-02-04, FR</w:t>
      </w:r>
    </w:p>
    <w:p>
      <w:r>
        <w:rPr>
          <w:b/>
        </w:rPr>
        <w:t xml:space="preserve">Quelle: </w:t>
      </w:r>
      <w:r>
        <w:t>https://mcp.opencaselaw.ch/entscheid/ge_gerichte_ATA_64_2009</w:t>
      </w:r>
    </w:p>
    <w:p>
      <w:r>
        <w:t>FR: GE_GERICHTE ATA/64/2009 du 4 février 2009</w:t>
      </w:r>
    </w:p>
    <w:p>
      <w:r>
        <w:t>IT: GE_GERICHTE ATA/64/2009 del 4 febbraio 2009</w:t>
      </w:r>
    </w:p>
    <w:p>
      <w:pPr>
        <w:pStyle w:val="Heading2"/>
      </w:pPr>
      <w:r>
        <w:t>Erwägungen</w:t>
      </w:r>
    </w:p>
    <w:p>
      <w:r>
        <w:rPr>
          <w:b/>
        </w:rPr>
        <w:t>E. 1</w:t>
      </w:r>
    </w:p>
    <w:p>
      <w:r>
        <w:t>Le 18 septembre 2008, le Grand Conseil de la République et canton de Genève a modifié la loi d’organisation judiciaire du 22 novembre 1941 (LOJ - E</w:t>
      </w:r>
    </w:p>
    <w:p>
      <w:r>
        <w:rPr>
          <w:b/>
        </w:rPr>
        <w:t>E. 2</w:t>
      </w:r>
    </w:p>
    <w:p>
      <w:r>
        <w:t>A juste titre, puisque les faits sont établis par les pièces du dossier de police, le recourant admet l'excès de vitesse qu'il a commis le 16 novembre 2007. De</w:t>
      </w:r>
    </w:p>
    <w:p>
      <w:r>
        <w:t>- 4/6 - A/3951/2008 même, avec raison, puisque l’appréciation de l’OCAN est conforme à la jurisprudence établie par le Tribunal fédéral (Arrêt du Tribunal fédéral 1C.83/2008 du 16 octobre 2008 et la jurisprudence citée), il ne conteste pas que l'infraction commise le 8 octobre 2008 soit d'un niveau moyennement grave au sens de l'article 16b alinéa 1 LCR, impliquant une mesure de retrait d'une durée minimale d’un mois. Par son recours il conteste que l'autorité administrative puisse retenir une récidive et allonger la durée de la mesure de retrait à quatre mois. Elle n'aurait pas du tenir compte de la décision du 13 décembre 2007, prise à tort, vu l'arrêt ATA/53/2006 du 31 janvier 2006 du tribunal de céans.</w:t>
      </w:r>
    </w:p>
    <w:p>
      <w:r>
        <w:rPr>
          <w:b/>
        </w:rPr>
        <w:t>E. 3</w:t>
      </w:r>
    </w:p>
    <w:p>
      <w:r>
        <w:t>a. Selon la jurisprudence et la doctrine, dès qu'une décision administrative n'est plus susceptible de recours ordinaire, soit que le délai de recours n'a pas été utilisé, soit que l'autorité de dernière instance s'est prononcée, elle est définitive. Les décisions ayant fait l'objet d'un contrôle juridictionnel bénéficient dès lors de l'autorité de la chose jugée, tandis que celles prises en première instance ne bénéficient que de la force de la chose décidée. Elles ne peuvent plus être remises en question, même s'il est permis de penser qu'elles étaient viciées. Sont cependant réservés les cas de nullité absolue (ATF 100 p. 99, consid. 2 ; Arrêt du Tribunal fédéral 2C.134/2007 du 20 septembre 2007, consid. 2.2 ; ATA/398/2008 du 29 juillet 2008 et jurisprudence citée ; P. MOOR, Droit administratif, 2ème éd. 2002, volume II, p. 323 ; B. KNAPP, Précis de droit administratif, 4ème éd. no 1116 et ss).</w:t>
      </w:r>
    </w:p>
    <w:p>
      <w:r>
        <w:t>b. Ne sont frappées de nullité que les décisions affectées des vices les plus graves. Il s'agit de la sanction la plus lourde car les caractéristiques d'un cas de nullité est d'être constatable en tout temps, l'acte étant sensé avoir été inexistant dès son origine (P. MOOR, op. cit. p. 306). Pour que la nullité d'un acte administratif soit prononcée, il faut ainsi que les vices soient graves en raison de l'importance de la norme violée, considérée sous l'angle des principes lésés (violation d'une norme constitutionnelle fondamentale, de protection de la dignité humaine ou d'une règle d'organisation procédurale essentielle). Il doit être en outre patent et manifeste et l'admission de la nullité ne doit pas léser gravement la sécurité du droit.</w:t>
      </w:r>
    </w:p>
    <w:p>
      <w:r>
        <w:t>c. En principe, les décisions viciées prises par les autorités administratives sont annulables puisque la possibilité est donnée à la personne qu'elles touchent de les contester en saisissant l'autorité de recours, selon les formes et délais prévus par la loi. Si celle-ci ne fait pas usage de cette faculté, la décision s'impose à elle sans qu'elle puisse par la suite la remettre en question (P. MOOR op. cit. p.308). En règle générale, l'illégalité d'une décision crée un motif d'annulabilité et non de nullité (P. MOOR op. cit. p. 321).</w:t>
      </w:r>
    </w:p>
    <w:p>
      <w:r>
        <w:t>Dans le cas d'espèce, l'application des principes rappelés ci-dessus ne permet pas de considérer que la décision de l'OCAN du 13 décembre 2007 soit à considérer comme nulle du fait de la teneur de l'ATA/53/2006. Cette autorité</w:t>
      </w:r>
    </w:p>
    <w:p>
      <w:r>
        <w:t>- 5/6 - A/3951/2008 était compétente pour ordonner le retrait du permis de conduire du recourant. La mesure administrative du 13 décembre 2007 a été notifiée au recourant qui avait la possibilité de saisir le tribunal de céans dans les 30 jours suivant cette notification. Dans l'arrêt du 31 janvier 2006 invoqué, le Tribunal administratif n'a pas constaté qu'il y avait eu violation d'un texte légal clair, mais a admis le recours après un travail d'interprétation des textes légaux. Dans la mesure où la décision de l'OCAN du 13 décembre 2007 n'a pas été contestée, elle bénéficie de l'autorité de la chose décidée. Cela signifie qu'elle s'imposait à l'OCAN et que tant son existence que sa portée n'a pas non plus à être remise en question dans le cadre d'un contrôle préjudiciel effectué dans la présente procédure par le tribunal de céans.</w:t>
      </w:r>
    </w:p>
    <w:p>
      <w:r>
        <w:rPr>
          <w:b/>
        </w:rPr>
        <w:t>E. 4</w:t>
      </w:r>
    </w:p>
    <w:p>
      <w:r>
        <w:t>Après une infraction moyennement grave, le permis de conduire est retiré pour quatre mois au minimum si au cours des deux années précédentes, le permis a été retiré une fois en raison d'une infraction grave ou moyennement grave (art. 16b al. 2 let. b LCR). Selon l'article 16 alinéa 3 LCR, la durée de la mesure de retrait de permis doit être prise en fonction des circonstances, soit notamment l'atteinte à la sécurité routière, la gravité de la faute, les antécédents en tant que conducteur ainsi que la nécessité professionnelle de conduire un véhicule automobile. La durée du retrait ne peut être réduite en dessous du minimum légal, ceci sans possibilité de faire des exception (Arrêt du Tribunal fédéral 1C 83/2008 du 16 octobre 2008 consid. 2.1).</w:t>
      </w:r>
    </w:p>
    <w:p>
      <w:r>
        <w:t>En l'espèce, la décision du 13 décembre 2008, étant en force, elle s'imposait à l'OCAN dès lors qu''il se trouvait devoir décider d'une nouvelle mesure en raison de nouvelles infractions. Comme la durée de celle-ci ne s'écarte pas du minimum légal, elle ne peut qu'être confirmée et le recours rejeté.</w:t>
      </w:r>
    </w:p>
    <w:p>
      <w:r>
        <w:rPr>
          <w:b/>
        </w:rPr>
        <w:t>E. 5</w:t>
      </w:r>
    </w:p>
    <w:p>
      <w:r>
        <w:t>Le recourant qui succombe sera condamné au paiement d'un émolument de CHF 400.- (article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