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ATA/649/2012 vom 25. September 2012</w:t>
      </w:r>
    </w:p>
    <w:p>
      <w:r>
        <w:t>GE Cour de justice, 2012-09-25, FR</w:t>
      </w:r>
    </w:p>
    <w:p>
      <w:r>
        <w:rPr>
          <w:b/>
        </w:rPr>
        <w:t xml:space="preserve">Quelle: </w:t>
      </w:r>
      <w:r>
        <w:t>https://mcp.opencaselaw.ch/entscheid/ge_gerichte_ATA_649_2012</w:t>
      </w:r>
    </w:p>
    <w:p>
      <w:r>
        <w:t>FR: GE_GERICHTE ATA/649/2012 du 25 septembre 2012</w:t>
      </w:r>
    </w:p>
    <w:p>
      <w:r>
        <w:t>IT: GE_GERICHTE ATA/649/2012 del 25 settembre 2012</w:t>
      </w:r>
    </w:p>
    <w:p>
      <w:pPr>
        <w:pStyle w:val="Heading2"/>
      </w:pPr>
      <w:r>
        <w:t>Regeste</w:t>
      </w:r>
    </w:p>
    <w:p>
      <w:r>
        <w:t>Résumé: L'art. 59 al. 9 LCI règle le calcul du rapport des surfaces en sous-sol. Il comporte une lacune improprement dite car il ne prend pas en compte l'évolution de la législation en matière d'énergie. Le juge ne peut pas combler une telle lacune. La pratique illégale établie du département conduit à admettre l'égalité dans l'illégalité. Le libellé erroné de l'autorisation de construire doit être interprété conformément au principe de la bonne foi. La chambre administrative est compétente pour statuer sur la contestation de l'émolument et de l'indemnité lorsque le litige porte aussi sur la validité de la décision.</w:t>
      </w:r>
    </w:p>
    <w:p>
      <w:pPr>
        <w:pStyle w:val="Heading2"/>
      </w:pPr>
      <w:r>
        <w:t>Erwägungen</w:t>
      </w:r>
    </w:p>
    <w:p>
      <w:r>
        <w:rPr>
          <w:b/>
        </w:rPr>
        <w:t>E. 1</w:t>
      </w:r>
    </w:p>
    <w:p>
      <w:r>
        <w:t>a.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w:t>
      </w:r>
    </w:p>
    <w:p>
      <w:r>
        <w:t>- 10/20 - A/2270/2011</w:t>
      </w:r>
    </w:p>
    <w:p>
      <w:r>
        <w:t>b.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 ATA/5/2009 du 13 janvier 2009 et les références citées).</w:t>
      </w:r>
    </w:p>
    <w:p>
      <w:r>
        <w:t>Cette notion de l’intérêt digne de protection est identique à celle qui a été développée par le Tribunal fédéral sur la base de l’art. 103 let. a de la loi fédérale d’organisation judiciaire du 16 décembre 1943 (OJ - aRS 173.110) et qui était, jusqu’à son abrogation le 1er janvier 2007, applicable aux juridictions administratives des cantons, conformément à l’art. 98a de la même loi (ATA/399/2009 du 25 août 2009 consid. 2a ; ATA/207/2009 du 28 avril 2009 consid. 3a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w:t>
      </w:r>
    </w:p>
    <w:p>
      <w:r>
        <w:t>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1C_125/2009 du 24 juillet 2009 consid. 1 ; 1C_7/2009 du 20 août 2009 consid. 1 ; ATA/321/2009 du 30 juin 2009 consid. 2 ; ATA/331/2007 du 26 juin 2007 consid. 3d ; sur le cas d'une personne qui va devenir voisine de la construction litigieuse : ATA/450/2008 du 2 septembre 2008 consid. 3). La qualité pour recourir peut être donnée en l’absence de voisinage direct, quand une distance relativement faible sépare l’immeuble des recourants de l’installation litigieuse (ATF 121 II 171 consid. 2b p. 174 et la jurisprudence citée ; ATA/331/2007 précité). La proximité avec l'objet du litige ne suffit cependant pas à elle seule à conférer au voisin la qualité pour recourir contre la</w:t>
      </w:r>
    </w:p>
    <w:p>
      <w:r>
        <w:t>- 11/20 - A/2270/2011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 133 II 181 consid. 3.2.3 ; Arrêts du Tribunal fédéral 1C_503/2008 du 10 février 2009 et 1C_158/2008 du 30 juin 2008 consid. 2). En particulier, l'intérêt digne de protection des voisins est admis lorsqu'ils se prévalent de normes ayant des effets concrets ou juridiques sur leur situation (ATF 133 II 249 consid. 1.3.2 p. 253). Tel est notamment le cas des règles régissant la densité et le volume des constructions ainsi que de celles relatives aux distances entre les constructions (ATF 127 I 44 consid. 2d p. 47).</w:t>
      </w:r>
    </w:p>
    <w:p>
      <w:r>
        <w:t>En l'espèce, suite à la division de l'ancienne parcelle n° ______, le terrain du recourant ne jouxte pas ceux concernés par le projet de construction litigieux. Cependant, sa maison se situe à environ 70-80 m de ce dernier. De plus, le recourant invoque la violation des al. 4 et 9 de l'art. 59 LCI régissant la densité des constructions. Il est ainsi touché plus que quiconque dans un intérêt direct et personnel digne de protection.</w:t>
      </w:r>
    </w:p>
    <w:p>
      <w:r>
        <w:t>La qualité pour recourir doit donc lui être reconnue et le recours est recevable.</w:t>
      </w:r>
    </w:p>
    <w:p>
      <w:r>
        <w:rPr>
          <w:b/>
        </w:rPr>
        <w:t>E. 2</w:t>
      </w:r>
    </w:p>
    <w:p>
      <w:r>
        <w:t>Le recourant considère que le refus du transport sur place et celui de l'expertise violent son droit d'être entendu.</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w:t>
      </w:r>
    </w:p>
    <w:p>
      <w:r>
        <w:rPr>
          <w:b/>
        </w:rPr>
        <w:t>E. 2.3</w:t>
      </w:r>
    </w:p>
    <w:p>
      <w:r>
        <w:t>;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w:t>
      </w:r>
    </w:p>
    <w:p>
      <w:r>
        <w:t>- 12/20 - A/2270/2011 consid 5.2 p. 248 ; 129 I 232 consid. 3.2 p. 236 ; Arrêts du Tribunal fédéral 1C_424/2009 du 6 septembre 2010 consid. 2 ; 2C_514/2009 du 25 mars 2010 consid. 3.1).</w:t>
      </w:r>
    </w:p>
    <w:p>
      <w:r>
        <w:t>En l'espèce, le TAPI a, à juste titre, estimé disposer de tous les éléments pertinents pour se prononcer sur les griefs liés à la qualité esthétique du quartier ainsi qu'à la qualification du projet de construction conforme à un haut standard énergétique. On ne voit pas en quoi le transport sur place, respectivement l'expertise sollicitée, auraient apporté des éléments nouveaux et pertinents pour la solution du litige. Par conséquent, le droit d'être entendu du recourant n'a pas été violé.</w:t>
      </w:r>
    </w:p>
    <w:p>
      <w:r>
        <w:rPr>
          <w:b/>
        </w:rPr>
        <w:t>E. 3</w:t>
      </w:r>
    </w:p>
    <w:p>
      <w:r>
        <w:t>Le recourant soutient que le rapport de surface autorisé pour le sous-sol, soit 22 %, viole l'art. 59 al. 9 LCI.</w:t>
      </w:r>
    </w:p>
    <w:p>
      <w:r>
        <w:t>a. Le calcul du rapport des surfaces en sous-sol pour les constructions en 5ème zone est régi par l'art. 59 al. 8 à 10 LCI. La surface des constructions en sous-sol, exprimée en m2 de plancher brut, ne doit pas excéder la surface de plancher hors- sol qui peut être autorisée en application de l'al. 1 de cette disposition (art. 59 al. 8 LCI). Dans tous les cas, la surface du sous-sol, y compris celle du sous-sol des constructions de peu d’importance, ne peut excéder le 20 % de la surface de la parcelle (art. 59 al. 9 LCI). L'art. 59 al. 1 LCI porte la surface de la construction à 22 % de la surface de la parcelle, lorsque la construction est conforme à un standard de haute performance énergétique.</w:t>
      </w:r>
    </w:p>
    <w:p>
      <w:r>
        <w:t>b. Le fait que le législateur commette une inadvertance lors d'une révision de la loi n'implique pas nécessairement que le juge puisse y remédier en faisant lui- même œuvre de législateur. De manière générale, la doctrine distingue les lacunes proprement dites et improprement dites de la loi. Les premières sont les silences non voulus par le législateur, qui rendent la loi inapplicable ou qui engendrent des résultats contraires à sa systématique ou à ses objectifs. Les secondes sont les silences de la loi sur des points qui en rendent l'application insatisfaisante. Ces dernières ne permettent pas au juge de se substituer au législateur, sous peine de violer le principe de la séparation des pouvoirs, à moins que l'invocation du sens réputé déterminant de la norme ne soit constitutive d'un abus de droit, voire d'une violation de la Constitution (ATF 131 II 562 consid. 3.5 p. 568 ; ATF 128 I 34 consid. 3b p. 42 ; ATA/655/2011 du 18 octobre 2011 ; ATA/640/2011 du 11 octobre 2011 ; ATA/111/2003 du 4 mars 2003 ; T. TANQUEREL, Manuel de droit administratif, 2011, p. 142 ss, n. 440 ss ; P. MOOR, Droit administratif - Les fondements généraux, vol. I, 1994, p. 154). Le juge ne saurait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(ATF 130 II 65</w:t>
      </w:r>
    </w:p>
    <w:p>
      <w:r>
        <w:t>- 13/20 - A/2270/2011 consid. 4.2 p. 71 ; ATA/640/2011 du 11 octobre 2011 ; ATA/321/2006 du 13 juin 2006).</w:t>
      </w:r>
    </w:p>
    <w:p>
      <w:r>
        <w:t>c. Selon les travaux préparatoires relatifs à l'adoption de l’art. 59 al. 8 et 9 LCI, les constructions ayant un rapport de surfaces supérieur à 20 % ne peuvent bénéficier de la même dérogation pour la surface en sous-sol. Celle-ci est limitée dans tous les cas à 20 % (Mémorial des séances du Grand Conseil de la République et canton de Genève du 12 mai 1989, 1989/II, séance n° 22, p. 2573). Le but du législateur était de corriger l'inégalité de traitement subie par celui qui construit en hauteur par rapport à celui qui construit sur un seul niveau, sans augmenter les possibilités de construire en sous-sol (Mémorial précité, 1989/II, séance n° 22, p. 2573 ; Mémorial des séances du Grand Conseil de la République et canton de Genève du 5 octobre 1989, 1989/IV, séance n° 42, p. 5934s).</w:t>
      </w:r>
    </w:p>
    <w:p>
      <w:r>
        <w:t>La modification des al. 1 et 4 de l'art. 59 LCI, adoptée le 27 août 2004 et entrée en vigueur le 26 octobre 2004, a pour but d'encourager la construction de bâtiments dotés d'un haut standard énergétique, sans que cela ne diminue les surfaces nettes habitables. Le moyen initialement proposé consistait à déduire la surface de la totalité des murs de façade de celle de plancher prise en compte dans le calcul du taux d’utilisation. L'idée était de calculer l'indice d'utilisation du sol depuis l'intérieur, en déduisant l'épaisseur des murs de façades. Celle-ci n'avait alors plus d'incidence sur le calcul des droits à bâtir, ce qui favorisait la mise en place d'une isolation thermique renforcée. La première proposition, compliquée à mettre en œuvre, a été abandonnée au profit de la fixation d'un taux dans la loi, méthode plus simple. La question du calcul du rapport de la surface en sous-sol n'a pas été débattue (MGC 2002-2003/X A 5742 ss et MGC 2002-2003/X D/56 3112 ss). Les al. 1 et 4 de l'art. 59 LCI ont subi à nouveau des changements en 2010 en raison de la modification de la loi sur l'énergie, par l’intégration d’un troisième taux, plus élevé, pour le calcul des rapports de surface lorsque la construction répond à un standard de très haute performance énergétique. Cette modification a été contestée par une minorité du parlement. Le rapport de la surface en sous-sol n'a pas été abordé (MGC 2007-2008/VIII A, D/42, MGC 2008-2009/XII A, D/68 et D/69).</w:t>
      </w:r>
    </w:p>
    <w:p>
      <w:r>
        <w:t>La lettre de l’art. 59 al. 9 LCI ne prend pas en compte l'évolution de la législation en matière d'énergie. Son application ne conduit cependant ni à vider la LCI de sons sens, ni à des résultats contraires à la systématique ou aux objectifs de cette loi. Le législateur de 1989 a décidé que le taux pris en compte soit différent pour la surface hors sol et pour celle en sous-sol. Dans ce dernier cas, il est strictement limité à 20 % maximum. Les modifications de 2004 et de 2010 ont élargi les possibilités de dérogation du calcul du rapport de surface s'agissant de la partie hors-sol d’un bâtiment, en prévoyant des taux plus élevé en fonction de la qualité énergétique de ce dernier. La question d'appliquer ces mêmes taux dérogatoires aux surfaces en sous-sol n'a pas été discutée par les parlementaires.</w:t>
      </w:r>
    </w:p>
    <w:p>
      <w:r>
        <w:t>- 14/20 - A/2270/2011</w:t>
      </w:r>
    </w:p>
    <w:p>
      <w:r>
        <w:t>Il s’agit d’une lacune improprement dite, qui ne peut être comblée par le juge.</w:t>
      </w:r>
    </w:p>
    <w:p>
      <w:r>
        <w:t>En autorisant un taux de 22 % pour le calcul de la surface en sous-sol du projet litigieux, le département a violé l'art. 59 al. 9 LCI.</w:t>
      </w:r>
    </w:p>
    <w:p>
      <w:r>
        <w:rPr>
          <w:b/>
        </w:rPr>
        <w:t>E. 4</w:t>
      </w:r>
    </w:p>
    <w:p>
      <w:r>
        <w:t>Reste à examiner si le refus d’un taux de 22 % pour les sous-sols du projet litigieux constitue une violation du principe de l'égalité de traitement du fait de la pratique illégale établie du département.</w:t>
      </w:r>
    </w:p>
    <w:p>
      <w:r>
        <w:t>Le principe de la légalité de l'activité administrative prévaut en principe sur celui de l'égalité de traitement. Cela étant,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134 V consid. 9 ; 132 II 510 consid. 8.6 ; 131 V 9 consid. 3.7 ; 127 I 1 consid. 3a ; 125 II 152 consid. 5 p. 166 ; 122 II 446 consid. 4a ; Arrêts du Tribunal fédéral 1C_434/2011 du 2 février 2012 consid. 6.1 ; 1C_482/2010 du 14 avril 2011 consid. 5.1 ; ATA/270/2012 du 8 mai 2012).</w:t>
      </w:r>
    </w:p>
    <w:p>
      <w:r>
        <w:t>En l'espèce, le département reconnaît ne pas appliquer l'art. 59 al. 9 LCI au motif qu'il contient une lacune et qu'il ne tient pas compte des évolutions législatives liées à la prise en compte des considérations énergétiques en matière de constructions. Cette pratique est appliquée depuis la modification de l'art. 59 al. 1 et 4 LCI, en 2004, et l’autorité indique ne pas vouloir la modifier.</w:t>
      </w:r>
    </w:p>
    <w:p>
      <w:r>
        <w:t>Dans ces circonstances, le principe d'égalité de traitement prime exceptionnellement sur le principe de la légalité. Le taux de 22 % pour le calcul du rapport des surfaces en sous-sol doit dès lors, malgré son illégalité, être appliqué au projet de construction litigieux.</w:t>
      </w:r>
    </w:p>
    <w:p>
      <w:r>
        <w:t>Le grief tiré de la violation de l'art. 59 al. 9 LCI devra pour cette raison être écarté.</w:t>
      </w:r>
    </w:p>
    <w:p>
      <w:r>
        <w:t>- 15/20 - A/2270/2011</w:t>
      </w:r>
    </w:p>
    <w:p>
      <w:r>
        <w:rPr>
          <w:b/>
        </w:rPr>
        <w:t>E. 5</w:t>
      </w:r>
    </w:p>
    <w:p>
      <w:r>
        <w:t>Le recourant invoque une violation de l'art. 59 al. 4 let. a LCI. D'une part, le projet litigieux ne serait pas compatible avec les aspects esthétiques du quartier. D'autre part, il ne répondrait pas à un standard de haute performance énergétique.</w:t>
      </w:r>
    </w:p>
    <w:p>
      <w:r>
        <w:t>a. Selon l'art. 59 al. 4 let. a LCI, lorsque les circonstances le justifient et que cette mesure est compatible avec le caractère, l'harmonie et l'aménagement du quartier, le département peut autoriser, après consultation de la commune et de la commission d'architecture, un projet de construction en ordre contigu dont la surface de plancher habitable n'excède pas 25 % de la surface du terrain, 27,5 % lorsque la construction est conforme à un standard de haute performance énergétique, 30 % lorsque la construction est conforme à un standard de très haute performance énergétique, reconnue comme telle par le service compétent.</w:t>
      </w:r>
    </w:p>
    <w:p>
      <w:r>
        <w:t>b. La compatibilité du projet avec le caractère, l’harmonie et l’aménagement du quartier constitue une clause d’esthétique, analogue à celle contenue à l’art. 15 LCI faisant appel à des notions juridiques imprécises ou indéterminées. Le contenu de telles notions varie selon les conceptions subjectives de celui qui les interprète et selon les circonstances de chaque cas d'espèce ; ces notions laissent à l'autorité une certaine latitude de jugement. L'autorité de recours s'impose une certaine retenue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(ATA/849/2005 du 13 décembre 2005 et la jurisprudence citée).</w:t>
      </w:r>
    </w:p>
    <w:p>
      <w:r>
        <w:t>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(T.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(ATA/147/2011 du 8 mars 2011 consid. 14 ; ATA/227/2010 du 27 avril 2010 ; ATA/646/1997 du 23 octobre 1997).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(ATA/147/2011 du 8 mars 2011</w:t>
      </w:r>
    </w:p>
    <w:p>
      <w:r>
        <w:t>- 16/20 - A/2270/2011 consid. 14 ; ATA/51/2006 du 31 janvier 2006 ; ATA/609/2004 du 5 août 2004 consid. 5b).</w:t>
      </w:r>
    </w:p>
    <w:p>
      <w:r>
        <w:t>En l'espèce, tous les préavis des autorités spécialisées sont favorables au projet de construction litigieux. Le département les a suivis et sur certains points également intégrés à sa décision d'octroi de l'autorisation. Les griefs soulevés par le recourant portent sur des questions techniques que les autorités de préavis composées de spécialistes et le TAPI sont mieux à même d'examiner que la chambre de céans. Il n'existe au surplus aucun motif justifiant de s'écarter des préavis. S'imposant la réserve qui lui incombe, la chambre de céans constate qu'en accordant l’autorisation de construire, le département n’a ni abusé de son pouvoir d’appréciation, ni excédé celui-ci. Le TAPI a ainsi, à juste titre, confirmé l'autorisation de construire sur ce point.</w:t>
      </w:r>
    </w:p>
    <w:p>
      <w:r>
        <w:rPr>
          <w:b/>
        </w:rPr>
        <w:t>E. 6</w:t>
      </w:r>
    </w:p>
    <w:p>
      <w:r>
        <w:t>Le recourant considère que les corbeilles géothermiques ne sont pas autorisées au motif que la rubrique de l'autorisation de construire intitulée « description de l'objet » mentionne les sondes géothermiques.</w:t>
      </w:r>
    </w:p>
    <w:p>
      <w:r>
        <w:t>Selon l'art. 5 al. 3 de la Constitution fédérale de la Confédération suisse du 18 avril 1999 (Cst. ; RS 101), les organes de l’Etat et les particuliers doivent agir de manière conforme aux règles de la bonne foi. Le principe de la bonne foi s'applique notamment à l'interprétation des décisions administratives (T. TANQUEREL, Manuel de droit administratif, 2011, n° 570). Le sens d'une déclaration doit s'examiner, de manière objective, à la lumière du sens qu'un destinataire, loyal et raisonnable, peut et doit lui attribuer de bonne foi, en fonction de l'ensemble des circonstances (Arrêt du Tribunal fédéral 2P.170/2004 du 14 octobre 2004, consid. 2.2.1 et jurisprudence citée).</w:t>
      </w:r>
    </w:p>
    <w:p>
      <w:r>
        <w:t>En l'espèce, la mention erronée des sondes géothermiques dans l'intitulé de l'autorisation de construire apparaît de manière évidente à toute personne lisant l'autorisation dans son intégralité. En effet, le point n° 4 de l'autorisation litigieuse renvoie aux préavis qui en font partie intégrante. Parmi ceux-ci figure le préavis du GESDEC du 18 février 2011. Ce document mentionne de manière claire et univoque le remplacement des sondes géothermiques par les corbeilles géothermiques. Le nombre et l'emplacement de ces dernières ressortent aussi clairement des plans élaborés par la société en charge de la demande du label Minergie. Ceux-ci se trouvent dans le dossier du département. Il découle ainsi de la lecture complète de l'autorisation de construire que les corbeilles géothermiques en forment bien son objet et qu'elles sont donc valablement autorisées. Le grief du recourant doit par conséquent être écarté.</w:t>
      </w:r>
    </w:p>
    <w:p>
      <w:r>
        <w:rPr>
          <w:b/>
        </w:rPr>
        <w:t>E. 7</w:t>
      </w:r>
    </w:p>
    <w:p>
      <w:r>
        <w:t>Bien que le recourant conclue à l'annulation de l'autorisation de démolir et de l'autorisation d'abattage d'arbres, il n'invoque aucun grief à leur encontre. Ces dernières ne présentent aucun vice juridique et sont donc confirmées.</w:t>
      </w:r>
    </w:p>
    <w:p>
      <w:r>
        <w:t>- 17/20 - A/2270/2011</w:t>
      </w:r>
    </w:p>
    <w:p>
      <w:r>
        <w:rPr>
          <w:b/>
        </w:rPr>
        <w:t>E. 8</w:t>
      </w:r>
    </w:p>
    <w:p>
      <w:r>
        <w:t>Subsidiairement, le recourant conteste l'émolument et l'indemnité d'un montant de CHF 1'000.- chacun, tous deux mis à sa charge par le TAPI.</w:t>
      </w:r>
    </w:p>
    <w:p>
      <w:r>
        <w:t>a. A teneur de l'art. 67 al. 1 LPA, dès le dépôt du recours, le pouvoir de traiter l'affaire qui en est l'objet passe à l'autorité de recours. L'art. 87 al. 4 LPA prévoit la voie de la réclamation pour contester les frais de procédure, les émoluments et les indemnités arrêtés par la juridiction administrative. Toutefois, selon la jurisprudence de la chambre de céans, l'art. 87 al. 4 LPA ne déroge pas à l'art. 67 LPA, lorsque les griefs du recourant ne se limitent pas aux frais de procédure, émoluments et indemnités mais qu'ils portent également sur la validité matérielle de la décision attaquée (ATA/145/2009 du 24 mars 2009 consid. 12). Dans ce cas, la chambre de céans est compétente pour statuer sur toutes les questions litigieuses, y compris sur l'émolument et l'indemnité.</w:t>
      </w:r>
    </w:p>
    <w:p>
      <w:r>
        <w:t>En l'espèce, le recourant conteste non seulement l'émolument et l'indemnité que le TAPI lui impose, mais également la validité formelle et matérielle de son jugement. La chambre de céans est ainsi compétente pour statuer sur l'ensemble du litige.</w:t>
      </w:r>
    </w:p>
    <w:p>
      <w:r>
        <w:t>b. La juridiction administrative qui rend la décision statue sur les frais de procédure et émoluments dans les limites établies par le règlement sur les frais, émoluments et indemnités en procédure administrative du 30 juillet 1986 (RFPA - E 5.10.03) et cela, conformément au principe de la proportionnalité (art. 87 al. 1 et 3 LPA). Selon ce règlement, l’émolument n’excède généralement pas CHF 10'000.- (art. 2 al. 1 RFPA) ; dans certaines circonstances, telles qu'une contestation d’une ampleur extraordinaire ou présentant des difficultés particulières, l’émolument peut être porté à CHF 15'000.- au maximum (art. 2 al. 2 RFPA). Il est de jurisprudence constante que la partie qui succombe supporte une partie des frais découlant du travail qu'il a généré par sa saisine (ATA/145/2009 du 24 mars 2009 consid.13).</w:t>
      </w:r>
    </w:p>
    <w:p>
      <w:r>
        <w:t>En l'espèce, le recourant a été débouté par le TAPI, qui était dès lors fondé à le condamner à un émolument. Le montant de ce dernier est conforme à la pratique de cette juridiction. Il ne résulte pas du dossier que la situation financière du recourant ne pourrait s'accommoder d'un tel montant. L'émolument de CHF 1'000.-, mis à la charge du recourant par le TAPI, respecte ainsi le principe de la proportionnalité et doit donc être confirmé.</w:t>
      </w:r>
    </w:p>
    <w:p>
      <w:r>
        <w:t>c. La juridiction administrative peut, sur requête, allouer à la partie ayant entièrement ou partiellement gain de cause, une indemnité pour les frais indispensables causés par le recours dans les limites établies par le RFPA et cela, conformément au principe de proportionnalité (art. 87 al. 2 et 3 LPA). La juridiction peut allouer à une partie pour les frais indispensables occasionnés par la procédure, y compris les honoraires éventuels d'un mandataire, une indemnité de CHF 200.- à 10'000.- (art. 6 RFPA).</w:t>
      </w:r>
    </w:p>
    <w:p>
      <w:r>
        <w:t>- 18/20 - A/2270/2011</w:t>
      </w:r>
    </w:p>
    <w:p>
      <w:r>
        <w:t>En l'espèce, l’hoirie X______ et la société ont sollicité une indemnité équitable pour les frais d'avocat et obtenu gain de cause devant le TAPI. Ce dernier a, à juste titre, condamné le recourant, qui a succombé, à leur payer une indemnité de procédure. L'indemnité de procédure s'élève à un montant total de CHF 1'000.-. Au vu des actes d'instruction, du nombre des parties intimées ayant obtenu gain de cause et du résultat obtenu, le montant de l'indemnité est conforme au principe de proportionnalité. L'indemnité de procédure globale de CHF 1'000.- doit dès lors être confirmée.</w:t>
      </w:r>
    </w:p>
    <w:p>
      <w:r>
        <w:rPr>
          <w:b/>
        </w:rPr>
        <w:t>E. 9</w:t>
      </w:r>
    </w:p>
    <w:p>
      <w:r>
        <w:t>Au vu de ce qui précède, le recours sera donc rejeté.</w:t>
      </w:r>
    </w:p>
    <w:p>
      <w:r>
        <w:t>Un émolument de CHF 1'500.- est mis à la charge du recourant (art. 87 al. 1 LPA). Ayant obtenu gain de cause, l’hoirie X______ et la société se voient allouer, conjointement et solidairement, une indemnité de procédure de CHF 1'500.-,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