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ATA/648/2017 vom 13. Juni 2017</w:t>
      </w:r>
    </w:p>
    <w:p>
      <w:r>
        <w:t>GE Cour de justice, 2017-06-13, FR</w:t>
      </w:r>
    </w:p>
    <w:p>
      <w:r>
        <w:rPr>
          <w:b/>
        </w:rPr>
        <w:t xml:space="preserve">Quelle: </w:t>
      </w:r>
      <w:r>
        <w:t>https://mcp.opencaselaw.ch/entscheid/ge_gerichte_ATA_648_2017</w:t>
      </w:r>
    </w:p>
    <w:p>
      <w:r>
        <w:t>FR: GE_GERICHTE ATA/648/2017 du 13 juin 2017</w:t>
      </w:r>
    </w:p>
    <w:p>
      <w:r>
        <w:t>IT: GE_GERICHTE ATA/648/2017 del 13 giugno 2017</w:t>
      </w:r>
    </w:p>
    <w:p>
      <w:pPr>
        <w:pStyle w:val="Heading2"/>
      </w:pPr>
      <w:r>
        <w:t>Regeste</w:t>
      </w:r>
    </w:p>
    <w:p>
      <w:r>
        <w:t>Résumé: Recours contre un refus de délivrer un certificat de bonne vie et moeurs (CBVM) au motif d'une condamnation du recourant à une peine pécuniaire de 170 jours-amende pour infraction à la loi fédérale sur les étrangers du 16 décembre 2005 (LEtr - RS 142.20). Interprétation de l'art. 10 al. 1 let. a de la loi sur les renseignements et les dossiers de police et la délivrance des certificats de bonne vie et moeurs du 29 septembre 1977 (LCBVM - F 1 25), qui n'a pas été modifié depuis l'entrée en vigueur, au 1er janvier 2007, de la nouvelle partie du Code pénal suisse du 21 décembre 1937 (CP - RS 311.0). La peine pécuniaire, peine centrale depuis cette révision, équivaut à une peine privative de liberté sous l'égide de l'ancienne partie générale du CO. Par conséquent, la condamnation du recourant à une peine pécuniaire, pour une infraction d'une gravité certaine, constitue un motif de lui refuser la délivrance d'un CBVM au sens de l'art. 10 al. 1 let. a LCBVM. Recours rejeté.</w:t>
      </w:r>
    </w:p>
    <w:p>
      <w:pPr>
        <w:pStyle w:val="Heading2"/>
      </w:pPr>
      <w:r>
        <w:t>Erwägungen</w:t>
      </w:r>
    </w:p>
    <w:p>
      <w:r>
        <w:rPr>
          <w:b/>
        </w:rPr>
        <w:t>E. 12</w:t>
      </w:r>
    </w:p>
    <w:p>
      <w:r>
        <w:t>septembre 1985 - LPA - E 5 10). 2) a. En vertu de l'art. 8 LCBVM, quiconque justifie de son identité et satisfait aux exigences du chapitre IV LCBVM peut requérir la délivrance d'un certificat de bonne vie et mœurs.</w:t>
      </w:r>
    </w:p>
    <w:p>
      <w:r>
        <w:t>b.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w:t>
      </w:r>
    </w:p>
    <w:p>
      <w:r>
        <w:t>- 5/9 - A/557/2017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t>c. Celui qui tombe sous le coup de l’art. 10 al. 1 let. a LCBVM peut néanmoins recevoir un CBVM si la moitié de la durée déterminante pour l'élimination de l'inscription en vertu de l'article 369 du Code pénal suisse du 21 décembre 1937 (CP - RS 311.0) est écoulée (art. 11 al. 1 LCBVM). Celui qui tombe sous le coup de l’art. 10 al. 1 let. b LCBVM peut recevoir un certificat de bonne vie et mœurs si dans les deux ans qui précèdent la demande, sa conduite n’a donné lieu à aucun fait pouvant porter atteinte à son honorabilité (art. 11 al. 2 LCBVM).</w:t>
      </w:r>
    </w:p>
    <w:p>
      <w:r>
        <w:t>d. Selon l’art. 369 al. 3 CP, les jugements qui prononcent une peine privative de liberté avec sursis, une privation de liberté avec sursis, une peine pécuniaire, un travail d'intérêt général ou une amende comme peine principale sont éliminés d'office après dix ans. 3) a. L'art. 10 al. 1 let. b LCBVM a été introduit dans le but de saisir les comportements relevant du droit pénal dès leur commission, et de permettre au commissaire de police d'en tenir compte avant la fin de l'instruction pénale et le prononcé judiciaire (Mémorial des séances du Grand Conseil de la République et canton de Genève, 1977, p. 4774). Celui qui a fait l'objet de plaintes, même si elles sont encore en cours d'instruction, peut ainsi faire l'objet, le cas échéant, d'un refus de délivrance d'un CBVM (ATA/507/2012 du 31 juillet 2012 consid. 3a ; ATA/57/2003 du 28 janvier 2003 consid. 3a)</w:t>
      </w:r>
    </w:p>
    <w:p>
      <w:r>
        <w:t>b.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l'alinéa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(ATA/507/2012 précité consid. 3b ; ATA/57/2003 précité consid. 3b).</w:t>
      </w:r>
    </w:p>
    <w:p>
      <w:r>
        <w:t>c. Le CBVM vise à assurer la constatation de la bonne réputation de l'intéressé à l'égard des tiers dans certaines situations où il est requis, par exemple pour la</w:t>
      </w:r>
    </w:p>
    <w:p>
      <w:r>
        <w:t>- 6/9 - A/557/2017 prise d'un emploi. L'exclusion d'un tel certificat est attachée à l'existence d'un comportement répréhensible par rapport aux critères éthiques adoptés par la majorité de la population (ATA/675/1997 du 4 novembre 1997 et la référence citée).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4)</w:t>
      </w:r>
    </w:p>
    <w:p>
      <w:r>
        <w:t>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5)</w:t>
      </w:r>
    </w:p>
    <w:p>
      <w:r>
        <w:t>Selon l’art. 103 al. 1 de la loi fédérale sur le Tribunal fédéral du 17 juin 2005 (LTF - RS 173.110), le recours au Tribunal fédéral n’a, en règle générale, pas d’effet suspensif. En vertu de l’art. 103 al. 2 let. b LTF, le recours a effet suspensif en matière pénale, dans la mesure des conclusions formulées, s'il est dirigé contre une décision qui prononce une peine privative de liberté ferme ou une mesure entraînant une privation de liberté ; l'effet suspensif ne s'étend pas à la décision sur les prétentions civiles.</w:t>
      </w:r>
    </w:p>
    <w:p>
      <w:r>
        <w:t>La loi ne vise ici que les cas où la décision pénale attaquée, si elle était immédiatement exécutée, entraînerait effectivement une privation de liberté. L’idée est évidemment que si une personne est privée de liberté à tort, ce préjudice n’est guère réparable (Bernard CORBOZ, Commentaire de la LTF, 2014, n. 21 ad art. 103 LTF). 6)</w:t>
      </w:r>
    </w:p>
    <w:p>
      <w:r>
        <w:t>En l’espèce, le recourant a été condamné le 3 mars 2015 pour incitation à l’entrée, à la sortie ou au séjour illégaux (infraction à l’art. 116 al. 1 let. b et al. 3 let. a LEtr). Lorsqu’il a requis un CBVM, cette condamnation avait été confirmée par arrêt de la CPAR du 22 mars 2016. Contrairement à ce qu’il soutient, le fait qu’il ait recouru à l’encontre de cette décision auprès du Tribunal fédéral n’avait pas d’effet suspensif. En effet, il n’avait pas été condamné à une peine privative de liberté ferme, mais à une peine pécuniaire de cent septante jours-amende avec sursis (art. 103 al. 2 let. b LTF a contrario). Le commissaire de police a donc correctement procédé en retenant cette condamnation, qui n’est pas de faible gravité, dans sa décision.</w:t>
      </w:r>
    </w:p>
    <w:p>
      <w:r>
        <w:t>En tout état de cause, même si le recours avait eu effet suspensif, les faits qui étaient reprochés au recourant et qui avaient été retenus tant par le Tribunal pénal que par la CPAR – à savoir encourager l'activité de prostitution des « artistes » de cabaret qu'il employait avec son frère, cette activité leur permettant de réaliser des gains substantiels – étaient d’une gravité certaine, et de nature à atteindre son honorabilité. Ils constituaient donc un juste motif pour refuser de lui délivrer un CBVM au sens de l’art. 10 al. 1 let. b LCBVM.</w:t>
      </w:r>
    </w:p>
    <w:p>
      <w:r>
        <w:t>- 7/9 - A/557/2017 7)</w:t>
      </w:r>
    </w:p>
    <w:p>
      <w:r>
        <w:t>Même si ce point n’est pas souligné par le recourant, il sied de relever que ce dernier a été condamné à une peine pécuniaire, alors que l’art. 10 al. 1 let. a LCBVM prévoit que le CBVM est refusé à celui dont le casier judiciaire contient une condamnation à une peine privative de liberté. La question se pose donc de savoir si cette condamnation peut justifier le refus de délivrer un CBVM.</w:t>
      </w:r>
    </w:p>
    <w:p>
      <w:r>
        <w:t>a.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b. Le législateur suisse a fait de l’aménagement des sanctions alternatives l’un des principaux objets de la révision de la partie générale du CP, adoptée le</w:t>
      </w:r>
    </w:p>
    <w:p>
      <w:r>
        <w:rPr>
          <w:b/>
        </w:rPr>
        <w:t>E. 13</w:t>
      </w:r>
    </w:p>
    <w:p>
      <w:r>
        <w:t>décembre 2002 et entrée en vigueur le 1er janvier 2007 (FF 2002 7658). La peine pécuniaire, destinée à se substituer aux peines privatives de liberté de moins de six mois, en est même devenue la peine centrale. La privation de liberté n’intervient ainsi qu’en ultima ratio (Virginie MAIRE, La peine pécuniaire, in : La nouvelle partie générale du code pénal suisse, Berne 2006, pp. 161-162). L’art. 40 CP prévoit en effet que la durée des peines privatives de liberté est de six mois au moins et de vingt ans au plus. Le législateur érige dès lors en principe l’abolition des courtes peines privatives de liberté (Pierre VENTURA, La peine privative de liberté, in : op. cit., p. 204).</w:t>
      </w:r>
    </w:p>
    <w:p>
      <w:r>
        <w:t>c. La LCBVM date de 1979 et la formulation contenue à l’art. 10 al. 1 let. a LCBVM n’a pas été modifiée depuis, sous réserve de la suppression, le 27 janvier 2007 des termes « non radiée » après le mot « condamnation » (MGC</w:t>
      </w:r>
    </w:p>
    <w:p>
      <w:r>
        <w:t>- 8/9 - A/557/2017 2006-2007/IA – 487) : elle a donc été adoptée alors que la partie générale du CP n’avait pas encore été révisée, et que la peine privative de liberté était la peine centrale.</w:t>
      </w:r>
    </w:p>
    <w:p>
      <w:r>
        <w:t>d. En l’espèce, la condamnation du recourant à une peine pécuniaire équivaut à une condamnation à une peine privative de liberté sous l’égide de l’ancienne partie générale du CP. Par conséquent, il convient de considérer que sa condamnation à une peine pécuniaire de cent septante jours-amende, pour une infraction d’une gravité certaine et pour laquelle l’application de la deuxième phrase de l’art. 10 al. 1 let. a LCBVM ne se justifie pas, constitue un motif de lui refuser la délivrance d’un CBVM au sens de l’art. 10 al. 1 let. a LCBVM. C’est donc à juste titre que le commissaire de police a refusé d’accéder à sa requête. Cette condamnation datant du 2 mars 2015, elle ne sera éliminée de son casier judiciaire qu’en 2025 (art. 369 al. 3 CP). La moitié de la durée déterminante pour l'élimination de cette inscription n’étant pas écoulée, un CBVM ne peut être délivré (art. 11 al. 1 LCBVM). 8)</w:t>
      </w:r>
    </w:p>
    <w:p>
      <w:r>
        <w:t>La condamnation du recourant à une peine pécuniaire de cent septante jours-amende pour infraction à la LEtr justifiant à elle seule le refus de lui délivrer un CBVM, la question de savoir si l’absence de restitution de ses plaques de contrôle malgré des sommations de l’autorité le justifiait également peut rester ouverte. 9)</w:t>
      </w:r>
    </w:p>
    <w:p>
      <w:r>
        <w:t>Au vu de ce qui précède, le recours sera rejeté. 10) Vu l'issue du litige, un émolument de CHF 500.-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