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ATA/647/2018 vom 21. Juni 2018</w:t>
      </w:r>
    </w:p>
    <w:p>
      <w:r>
        <w:t>GE Cour de justice, 2018-06-21, FR</w:t>
      </w:r>
    </w:p>
    <w:p>
      <w:r>
        <w:rPr>
          <w:b/>
        </w:rPr>
        <w:t xml:space="preserve">Quelle: </w:t>
      </w:r>
      <w:r>
        <w:t>https://mcp.opencaselaw.ch/entscheid/ge_gerichte_ATA_647_2018</w:t>
      </w:r>
    </w:p>
    <w:p>
      <w:r>
        <w:t>FR: GE_GERICHTE ATA/647/2018 du 21 juin 2018</w:t>
      </w:r>
    </w:p>
    <w:p>
      <w:r>
        <w:t>IT: GE_GERICHTE ATA/647/2018 del 21 giugno 2018</w:t>
      </w:r>
    </w:p>
    <w:p>
      <w:pPr>
        <w:pStyle w:val="Heading2"/>
      </w:pPr>
      <w:r>
        <w:t>Volltext</w:t>
      </w:r>
    </w:p>
    <w:p>
      <w:r>
        <w:t>RÉPUBLIQUE ET</w:t>
      </w:r>
    </w:p>
    <w:p>
      <w:r>
        <w:t>CANTON DE GENÈVE POUVOIR JUDICIAIRE A/1837/2018-DIV ATA/647/2018</w:t>
      </w:r>
    </w:p>
    <w:p>
      <w:r>
        <w:t>COUR DE JUSTICE Chambre administrative Décision du 21 juin 2018 sur effet suspensif</w:t>
      </w:r>
    </w:p>
    <w:p>
      <w:r>
        <w:t>dans la cause</w:t>
      </w:r>
    </w:p>
    <w:p>
      <w:r>
        <w:t>Madame A______ représentée par Me Olivier Wasmer, avocat contre OFFICE DE L'ENFANCE ET DE LA JEUNESSE - SERVICE D'AUTORISATION ET DE SURVEILLANCE DE L'ACCUEIL DE JOUR</w:t>
      </w:r>
    </w:p>
    <w:p>
      <w:r>
        <w:t>- 2/5 - A/1837/2018</w:t>
      </w:r>
    </w:p>
    <w:p>
      <w:r>
        <w:t>Vu, en fait, que par décision du 27 avril 2018 le service d'autorisation et de surveillance de l'accueil de jour (ci-après : SASAJ) a suspendu, avec effet immédiat, l’autorisation donnée le 15 novembre 2016 à Madame A______ pour l’accueil familial, la décision étant exécutoire nonobstant recours ;</w:t>
      </w:r>
    </w:p>
    <w:p>
      <w:r>
        <w:t>que la décision fait état de ce que le 19 avril 2018, les parents de B______, un bébé de neuf mois, l’avait retrouvée en pleurs, placée à l’écart et que Mme A______ ne paraissait pas inquiète, alors que la mère estimait que sa fille ne semblait pas être dans son état normal ; qu’en rentrant chez eux, la petite fille n’étant toujours pas dans son état habituel, les parents s’étaient rendus à l’hôpital où les examens médicaux avaient mis en exergue une fracture du coude gauche et des marques au cou de l’enfant ; que les parents avaient déposé plainte pénale et la police avait ouvert une enquête ;</w:t>
      </w:r>
    </w:p>
    <w:p>
      <w:r>
        <w:t>que, par ailleurs, lors de la visite impromptue du SASAJ, Mme A______ gardait six enfants, dont deux bébés, contrairement au nombre autorisé d’enfants gardés ; que plusieurs objets dangereux se trouvaient à portée de mains et qu’il y avait des meubles instables ; une balancelle se fixant sur le cadre supérieur d’une porte se trouvait par terre et ne comportait pas d’attaches ; qu’interrogée face à ces observations, Mme A______ avait donné des explications peu claires, voire contradictoires ;</w:t>
      </w:r>
    </w:p>
    <w:p>
      <w:r>
        <w:t>que le 28 mai 2018, l’administrée a recouru contre la décision précitée auprès de la chambre administrative de la Cour de justice, concluant à son annulation et au renvoi du dossier au SASAJ afin qu’il statue à nouveau dans le sens des conclusions ; à titre préalable, elle a requis la restitution de l’effet suspensif et l’audition de deux témoins ;</w:t>
      </w:r>
    </w:p>
    <w:p>
      <w:r>
        <w:t>qu’elle a fait valoir que les parents des enfants qu’elle gardait se retrouvaient en grande difficulté du fait qu’elle ne pouvait plus s’en occuper et que ces derniers devaient s’adapter à un nouvel environnement, ce qui était particulièrement difficile pour des enfants en bas âge ; par ailleurs, la suspension de l’autorisation la mettait dans une situation financière précaire, ne disposant plus de revenus ; enfin, elle n’avait pas pu se déterminer avant que la décision de suspension soit prise ;</w:t>
      </w:r>
    </w:p>
    <w:p>
      <w:r>
        <w:t>que le SASAJ a conclu au rejet de la requête de restitution de l’effet suspensif ; la gravité des faits dénoncés pénalement justifiait, en soi, la décision prise ; selon les informations transmises par la police judiciaire, la fracture semblait être causée par l’action d’un adulte et non par un accident ;</w:t>
      </w:r>
    </w:p>
    <w:p>
      <w:r>
        <w:t>que, compte tenu de la procédure pénale en cours mettant en cause la recourante concernant une atteinte à l’intégrité physique d’un enfant, un risque majeur pour tout enfant accueilli devait être admis ; l’activité d’accueillante familiale de jour ne devait pas constituer une source de revenu indispensable, afin de sauvegarder l’intérêt de l’enfant ;</w:t>
      </w:r>
    </w:p>
    <w:p>
      <w:r>
        <w:t>considérant, en droit, l’art. 9 al. 1 du règlement interne de la chambre administrative de la Cour de justice du 26 septembre 2017, à teneur duquel les décisions sur effet</w:t>
      </w:r>
    </w:p>
    <w:p>
      <w:r>
        <w:t>- 3/5 - A/1837/2018 suspensif sont prises par le président de ladite chambre, respectivement par le vice-président, ou en cas d’empêchement de ceux-ci, par un juge ;</w:t>
      </w:r>
    </w:p>
    <w:p>
      <w:r>
        <w:t>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constante de la chambre de céans,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w:t>
      </w:r>
    </w:p>
    <w:p>
      <w:r>
        <w:t>qu’elles ne sauraient, en principe, anticiper le jugement définitif (Isabelle HÄNER, Vorsorgliche Massnahmen in Verwaltungsverfahren und Verwaltungsprozess in RDS 1997 II 253-420, 265) ;</w:t>
      </w:r>
    </w:p>
    <w:p>
      <w:r>
        <w:t>que, par ailleurs, l'octroi de mesures provisionnelles présuppose l'urgence, à savoir que le refus de les ordonner crée pour l'intéressé la menace d'un dommage difficile à réparer (ATF 130 II 149 consid. 2.2 ; 127 II 132 consid. 3) ;</w:t>
      </w:r>
    </w:p>
    <w:p>
      <w:r>
        <w:t>que la restitution de l'effet suspensif est subordonnée à l'existence de justes motifs, qui résident dans un intérêt public ou privé prépondérant à l’absence d’exécution immédiate de la décision (arrêt du Tribunal fédéral 2C_1161/2013 du 27 février 2014 consid. 5.5.1) ;</w:t>
      </w:r>
    </w:p>
    <w:p>
      <w:r>
        <w:t>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w:t>
      </w:r>
    </w:p>
    <w:p>
      <w:r>
        <w:t>que la chambre de céans dispose dans l’octroi de mesures provisionnelles d'un large pouvoir d'appréciation (ibidem) ;</w:t>
      </w:r>
    </w:p>
    <w:p>
      <w:r>
        <w:t>qu’en l’espèce, il n’est pas contesté que la petite B______ a subi une fracture du coude ;</w:t>
      </w:r>
    </w:p>
    <w:p>
      <w:r>
        <w:t>qu’en l’état, l’origine de cette fracture et les circonstances dans lesquelles elle s’est produite ne sont pas établies, la procédure pénale suivant son cours ;</w:t>
      </w:r>
    </w:p>
    <w:p>
      <w:r>
        <w:t>- 4/5 - A/1837/2018</w:t>
      </w:r>
    </w:p>
    <w:p>
      <w:r>
        <w:t>que si la recourante a indiqué qu’elle avait signalé aux parents, en cours de journée, l’existence d’une trace au cou de l’enfant et y avait appliqué de l’arnica et de l’oxyplastine, elle n’a pas remarqué que l’enfant rencontrait d’autres difficultés, alors que dès son arrivée, la mère de B______ l’avait trouvée dans un état inhabituel ;</w:t>
      </w:r>
    </w:p>
    <w:p>
      <w:r>
        <w:t>qu’en outre, l’autorité intimée a, lors de sa visite inopinée, constaté notamment que des objets dangereux se situaient à portée de mains des enfants, qu’il y avait des meubles instables et a relevé que lors de la semaine précédant la visite, la recourante avait accueilli six enfants dont deux bébés, contrairement au nombre d’enfants qu’elle était autorisée à accueillir ;</w:t>
      </w:r>
    </w:p>
    <w:p>
      <w:r>
        <w:t>que compte tenu de ces éléments, l’intérêt des enfants à ne plus être confiés à la garde de la recourante avant qu’il soit statué sur le bienfondé de son recours l’emporte sur l’intérêt de celle-ci à réaliser des revenus tirés de la garde d’enfants ;</w:t>
      </w:r>
    </w:p>
    <w:p>
      <w:r>
        <w:t>qu’en effet, au vu de la vulnérabilité d’enfants en bas âge, leur besoin de protection doit primer sur l’intérêt de la recourante à pouvoir continuer à exercer son activité d’accueil familial durant la procédure de recours ;</w:t>
      </w:r>
    </w:p>
    <w:p>
      <w:r>
        <w:t>que, de même, les éventuelles difficultés organisationnelles que, selon la recourante, la décision querellée a pu engendrer pour les parents des autres enfants gardés par elle ne sont pas de nature à contrebalancer la nécessité de garantir la sécurité et le bien des enfants, qui au vu des éléments susmentionnés ne semblent, à première vue, plus sauvegardés ;</w:t>
      </w:r>
    </w:p>
    <w:p>
      <w:r>
        <w:t>qu’au vu de ce qui précède, il n’y a donc pas lieu de restituer l’effet suspensif au recours ;</w:t>
      </w:r>
    </w:p>
    <w:p>
      <w:r>
        <w:t>que le sort des frais de la présente décision sera tranché avec l’arrêt au fond.</w:t>
      </w:r>
    </w:p>
    <w:p>
      <w:r>
        <w:t>LA CHAMBRE ADMINISTRATIVE rejette la requête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- 5/5 - A/1837/2018 communique la présente décision, en copie, à Me Olivier Wasmer, avocat de la recourante, ainsi qu'à l'office de l'enfance et de la jeunesse - service d'autorisation et de surveillance de l'accueil de jour.</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