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ATA/643/2024 vom 28. Mai 2024</w:t>
      </w:r>
    </w:p>
    <w:p>
      <w:r>
        <w:t>GE Cour de justice, 2024-05-28, FR</w:t>
      </w:r>
    </w:p>
    <w:p>
      <w:r>
        <w:rPr>
          <w:b/>
        </w:rPr>
        <w:t xml:space="preserve">Quelle: </w:t>
      </w:r>
      <w:r>
        <w:t>https://mcp.opencaselaw.ch/entscheid/ge_gerichte_ATA_643_2024</w:t>
      </w:r>
    </w:p>
    <w:p>
      <w:r>
        <w:t>FR: GE_GERICHTE ATA/643/2024 du 28 mai 2024</w:t>
      </w:r>
    </w:p>
    <w:p>
      <w:r>
        <w:t>IT: GE_GERICHTE ATA/643/2024 del 28 maggio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l’audition du titulaire de l’AUADP.</w:t>
      </w:r>
    </w:p>
    <w:p>
      <w:r>
        <w:t>- 5/8 - A/1114/2024</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142 II 218 consid. 2.3), de participer à l’administration des preuves essentielles ou à tout le moins de s’exprimer sur son résultat,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(arrêt du Tribunal fédéral 1C_551/2015 du 22 mars 2016 consid. 2.2 ; aussi art. 41 2e phr. LPA) ni celui d’obtenir l’audition de témoins (ATF 130 II 425 consid. 2.1).</w:t>
      </w:r>
    </w:p>
    <w:p>
      <w:r>
        <w:rPr>
          <w:b/>
        </w:rPr>
        <w:t>E. 2.2</w:t>
      </w:r>
    </w:p>
    <w:p>
      <w:r>
        <w:t>En l’espèce, le recourant a eu la possibilité de faire part de ses observations et de produire toutes pièces utiles devant l’autorité intimée ainsi que devant la chambre de céans, par le dépôt de deux écritures. Les faits sur lesquels pourrait être entendu l’intéressé sont ainsi suffisamment établis par les pièces du dossier. De surcroît, le témoin éventuel a signé un document attestant de la réception de loyers alors même que les plaques concernées avaient été déposées du 5 août au</w:t>
      </w:r>
    </w:p>
    <w:p>
      <w:r>
        <w:rPr>
          <w:b/>
        </w:rPr>
        <w:t>E. 3</w:t>
      </w:r>
    </w:p>
    <w:p>
      <w:r>
        <w:t>Le litige porte sur le bien-fondé du refus de délivrer une AUADP au recourant, en application du régime transitoire prévu par l’art. 46 al. 13 LTVTC.</w:t>
      </w:r>
    </w:p>
    <w:p>
      <w:r>
        <w:rPr>
          <w:b/>
        </w:rPr>
        <w:t>E. 3.1</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w:t>
      </w:r>
    </w:p>
    <w:p>
      <w:r>
        <w:rPr>
          <w:b/>
        </w:rPr>
        <w:t>E. 3.2</w:t>
      </w:r>
    </w:p>
    <w:p>
      <w:r>
        <w:t>Dans son arrêt du 24 mars 2023 (ACST/15/2023),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et jusqu’au dépôt de la requête (ATA/779/2023 du 18 juillet 2023 consid. 5.6.2 ; ATA/886/2023 du 22 août 2023 consid. 6.6).</w:t>
      </w:r>
    </w:p>
    <w:p>
      <w:r>
        <w:rPr>
          <w:b/>
        </w:rPr>
        <w:t>E. 3.4</w:t>
      </w:r>
    </w:p>
    <w:p>
      <w:r>
        <w:t>À propos de la nature effective de l’utilisation de plaques, la chambre de céans a jugé que le chauffeur de taxi qui avait été absent de Suisse de janvier à mars 2022 n’était pas, durant cette période, l’utilisateur effectif des plaques louées, peu importait les motifs pour lesquels il s’était rendu à l’étranger (ATA/687/2023 du 27 juin 2023 consid. 3.9).</w:t>
      </w:r>
    </w:p>
    <w:p>
      <w:r>
        <w:rPr>
          <w:b/>
        </w:rPr>
        <w:t>E. 4</w:t>
      </w:r>
    </w:p>
    <w:p>
      <w:r>
        <w:t>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(ATA/392/2024 du 19 mars 2024 consid. 4.2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w:t>
      </w:r>
    </w:p>
    <w:p>
      <w:r>
        <w:t>- 7/8 - A/1114/2024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4e éd., 1991, p. 256 n. 1172 ; ATA/392/2024 du 19 mars 2024 consid. 4.3 et les références citées).</w:t>
      </w:r>
    </w:p>
    <w:p>
      <w:r>
        <w:rPr>
          <w:b/>
        </w:rPr>
        <w:t>E. 5</w:t>
      </w:r>
    </w:p>
    <w:p>
      <w:r>
        <w:t>Est déterminante la condition d’avoir été l’utilisateur effectif de plaques lors de l’adoption de la LTVTC le 28 janvier 2022. En l’espèce, le recourant a indiqué dans sa requête avoir été locataire d’une première AUADP pour le numéro d’immatriculation GE 2______ à compter du 1er décembre 2017 au 6 juin 2019. L’immatriculation concernée par la présente procédure, pour les plaques GE 1______, aurait été acquise, à teneur de la requête, le 1er janvier 2020 et était en cours le 1er juin 2023, date du dépôt de la requête litigieuse. Le recourant ne conteste pas ne pas avoir utilisé l’AUADP en janvier et février 2022, ce que ses extraits de compte, notamment son « compte commerçant » confirme. Il invoque le décès de sa mère et son absence de Genève. Aucun document ne confirme ses allégations. Par ailleurs, comme l’a relevé à juste titre le PCTN, il ne peut être retenu que le recourant a prouvé à satisfaction de droit l’usage effectif de cette AUADP. Le fait qu’il prétende avoir acquitté des loyers alors que les plaques avaient été déposées à l’OCV atténue la force probante des quittances annuelles. De même, le contrat de bail à ferme conclu, à teneur du document produit, le 15 janvier 2020, n’est pas « paraphé », comme annoncé dans ledit document, sur les pages 2 et 3.</w:t>
      </w:r>
    </w:p>
    <w:p>
      <w:r>
        <w:t>Enfin, il ne remplit pas la seconde condition, cumulative, d’avoir été l’utilisateur effectif d’une AUADP du 28 janvier 2022 pendant l’année qui a suivi, en application de l’art. 46 al. 8 LTVTC, la requête ayant été déposée le 1er juin 2023 seulement. Aucun document ne confirme les allégations du chauffeur sur ce point. Mal fondé, son recours sera rejeté.</w:t>
      </w:r>
    </w:p>
    <w:p>
      <w:r>
        <w:rPr>
          <w:b/>
        </w:rPr>
        <w:t>E. 6</w:t>
      </w:r>
    </w:p>
    <w:p>
      <w:r>
        <w:t>Vu l’issue du litige, un émolument de CHF 500.- sera mis à la charge du recourant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