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ATA/643/2013 vom 1. Oktober 2013</w:t>
      </w:r>
    </w:p>
    <w:p>
      <w:r>
        <w:t>GE Cour de justice, 2013-10-01, FR</w:t>
      </w:r>
    </w:p>
    <w:p>
      <w:r>
        <w:rPr>
          <w:b/>
        </w:rPr>
        <w:t xml:space="preserve">Quelle: </w:t>
      </w:r>
      <w:r>
        <w:t>https://mcp.opencaselaw.ch/entscheid/ge_gerichte_ATA_643_2013</w:t>
      </w:r>
    </w:p>
    <w:p>
      <w:r>
        <w:t>FR: GE_GERICHTE ATA/643/2013 du 1 octobre 2013</w:t>
      </w:r>
    </w:p>
    <w:p>
      <w:r>
        <w:t>IT: GE_GERICHTE ATA/643/2013 del 1 ottobre 2013</w:t>
      </w:r>
    </w:p>
    <w:p>
      <w:pPr>
        <w:pStyle w:val="Heading2"/>
      </w:pPr>
      <w:r>
        <w:t>Regeste</w:t>
      </w:r>
    </w:p>
    <w:p>
      <w:r>
        <w:t>Résumé: Bien que l'arrêté de classement du Conseil d'Etat se limite à énoncer les actes de procédure retenus pour justifier le classement contesté, il fait référence aux préavis pertinents. Cette motivation permettait au recourant de se rendre compte de la portée de la décision litigieuse et de recourir contre elle en connaissance de cause. Par ailleurs, le recourant ne pouvait déduire du silence de l'autorité que celle-ci avait abandonné la procédure de classement en cause. Il n'a jamais interpellé le Conseil d'Etat ou le département à ce sujet et n'a pas fait usage de son droit de recours pour déni de justice. Les préavis pertinents étaient favorables au classement de la villa dans son ensemble et de la parcelle sur laquelle elle est située. Ces préavis ont été rendus par des personnes compétentes en la matière et reposaient sur une étude approfondie et historique du dossier. Dans ce contexte, le classement de la parcelle, de l'enveloppe extérieure, ainsi que des éléments dignes d'intérêts situés à l'intérieur de la villa est justifié. En outre, la mesure de classement, en tant qu'elle portait sur l'intégralité du bâtiment et sur sa parcelle, n'est pas constitutive d'une atteinte grave au droit de propriété du recourant. L'intérêt privé de ce dernier doit céder le pas devant l'intérêt public à la protection du patrimoine, si bien que la mesure de classement ne viole pas le principe de la proportionnalité. Le recours est rejeté.</w:t>
      </w:r>
    </w:p>
    <w:p>
      <w:pPr>
        <w:pStyle w:val="Heading2"/>
      </w:pPr>
      <w:r>
        <w:t>Erwägungen</w:t>
      </w:r>
    </w:p>
    <w:p>
      <w:r>
        <w:rPr>
          <w:b/>
        </w:rPr>
        <w:t>E. 12</w:t>
      </w:r>
    </w:p>
    <w:p>
      <w:r>
        <w:t>septembre 1985 - LPA - E 5 10). 2)</w:t>
      </w:r>
    </w:p>
    <w:p>
      <w:r>
        <w:t>Le litige porte sur le classement du bâtiment no E140 et de tous les biens dignes d’intérêt situés à l’intérieur de celui-ci, ainsi que de la parcelle no 824, plan 25, de la commune Genève-Eaux-Vives, sur laquelle le bâtiment en question est érigé.</w:t>
      </w:r>
    </w:p>
    <w:p>
      <w:r>
        <w:t>- 8/14 - A/1982/2012 3)</w:t>
      </w:r>
    </w:p>
    <w:p>
      <w:r>
        <w:t>Conformément à l'art. 4 LPMNS, sont protégés les monuments de l'histoire de l'art ou de l'architecture et les antiquités immobilières situés ou découverts dans le canton, qui représentent un intérêt archéologique, historique, artistique, scientifique ou éducatif ainsi que les terrains contenant ces objets ou leurs abords (let. a) ; les immeubles et les sites dignes d'intérêt, ainsi que les beautés naturelles (let. b). 4)</w:t>
      </w:r>
    </w:p>
    <w:p>
      <w:r>
        <w:t>Pour assurer la protection d'un monument ou d'une antiquité au sens de l'art. 4 LPMNS, le Conseil d'Etat peut procéder à son classement par voie d'arrêté assorti, au besoin, d'un plan approprié (art. 10 al. 1 LPMNS). 5)</w:t>
      </w:r>
    </w:p>
    <w:p>
      <w:r>
        <w:t>Lorsqu'une procédure de classement est ouverte en vertu de l'art. 10 LPMNS, le propriétaire est informé personnellement. Il est invité à formuler ses observations (art. 12 al. 1 et 2 LPMNS ; art. 22 al. 2 du règlement général d'exécution de la loi sur la protection des monuments, de la nature et des sites du 29 novembre l976 - RPMNS - L 4 05.01).</w:t>
      </w:r>
    </w:p>
    <w:p>
      <w:r>
        <w:t>La commune du lieu de situation est également consultée (art. 14 LPMNS ; art. 22 al. 3 RPMNS). L'autorité compétente pour émettre le préavis est le conseil administratif (art. 48 let. h de la loi sur l'administration des communes du 13 avril 1984 - LAC - B 6 05).</w:t>
      </w:r>
    </w:p>
    <w:p>
      <w:r>
        <w:t>Enfin, le Conseil d'Etat doit s'entourer du préavis de la CMNS (art. 5 al. 2 let. d RPMNS).</w:t>
      </w:r>
    </w:p>
    <w:p>
      <w:r>
        <w:t>En l’espèce, la procédure ci-dessus a été respectée par l’autorité intimée. 6)</w:t>
      </w:r>
    </w:p>
    <w:p>
      <w:r>
        <w:t>Le recourant allègue tout d’abord une violation de son droit d’être entendu, l’arrêté contesté n’étant pas suffisamment motivé.</w:t>
      </w:r>
    </w:p>
    <w:p>
      <w:r>
        <w:t>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(ATF 138 I 232 consid. 5.1 p. 237 ; 133 III 439 consid. 3.3 p. 445 s.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p. 237 ; 138 IV 81 consid. 2.2 p. 84 ; 136 I 229 consid. 5.2 p. 236; Arrêts du Tribunal fédéral 5A_12/2013 du 8 mars 2013 consid. 4.1 ; 2C_997/2011 du 3 avril 2012 consid. 3 ; 1C_311/2010 du 7 octobre 2010 consid. 3.1 ; ATA/720/2012 du 30 octobre 2012 consid. 4).</w:t>
      </w:r>
    </w:p>
    <w:p>
      <w:r>
        <w:t>La garantie constitutionnelle fédérale du droit d’être entendu est concrétisée à l’art. 46 al. 1 LPA. Cette disposition légale n’offrant pas une protection</w:t>
      </w:r>
    </w:p>
    <w:p>
      <w:r>
        <w:t>- 9/14 - A/1982/2012 supérieure, c’est à l’aune de l’art. 29 al. 2 Cst. que le cas d’espèce doit être apprécié.</w:t>
      </w:r>
    </w:p>
    <w:p>
      <w:r>
        <w:t>En l'espèce, il est vrai que l’arrêté attaqué se limite à énoncer les actes de procédure retenus pour justifier le classement contesté. Toutefois, il renvoie aux préavis pertinents et cette motivation a permis à M. Barbier-Mueller de se rendre compte de la portée de la décision litigieuse et de recourir contre elle en connaissance de cause.</w:t>
      </w:r>
    </w:p>
    <w:p>
      <w:r>
        <w:t>La décision attaquée n'est ainsi pas viciée de ce point de vue. 7)</w:t>
      </w:r>
    </w:p>
    <w:p>
      <w:r>
        <w:t>Le recourant prétend également que le Conseil d’Etat n’a pas respecté le délai de 18 mois prévu à l’art. 12 al. 4 LPMNS.</w:t>
      </w:r>
    </w:p>
    <w:p>
      <w:r>
        <w:t>a. Selon l’art. 12 al. 4 LPMNS, le Conseil d’Etat doit rendre sa décision 18 mois au plus tard après l’ouverture de la procédure de classement, qui doit être menée avec diligence. En cas de dépassement de ce délai, un recours pour déni de justice peut être déposé auprès de la chambre administrative de la Cour de justice par le propriétaire, la commune du lieu de situation du monument ou l’auteur de la demande de classement.</w:t>
      </w:r>
    </w:p>
    <w:p>
      <w:r>
        <w:t>b. En l’espèce, le recourant ne pouvait déduire du silence du Conseil d’Etat que celui-ci avait abandonné la procédure de classement en cause. Il n’a jamais interpellé le Conseil d’Etat ou le département à ce sujet et n’a pas fait usage de son droit de recours pour déni de justice.</w:t>
      </w:r>
    </w:p>
    <w:p>
      <w:r>
        <w:t>Ce grief sera donc écarté. 8)</w:t>
      </w:r>
    </w:p>
    <w:p>
      <w:r>
        <w:t>Il faut vérifier si la mesure de classement litigieuse est justifiée, c’est-à-dire si le bâtiment no 140 dans son ensemble et la parcelle no 824 sont dignes d’être protégés au sens de l’art. 4 LPMNS.</w:t>
      </w:r>
    </w:p>
    <w:p>
      <w:r>
        <w:t>a. Un monument est toujours un bâtiment,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monument le rendent digne de protection, d'après leur connaissance et leur spécialité. A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(ATA/80/2001 du 6 février 2001 ; ATA/280/2000 du 9 mai 2000 et les références citées ; P. VOGEL, La protection des monuments historiques, 1982, p. 24 et les références citées).</w:t>
      </w:r>
    </w:p>
    <w:p>
      <w:r>
        <w:t>- 10/14 - A/1982/2012</w:t>
      </w:r>
    </w:p>
    <w:p>
      <w:r>
        <w:t>b. Selon la Charte internationale sur la conservation et la restauration des monuments et des sites, élaborée et adoptée à l'échelle internationale en 1964 à Venise à l'occasion du 2ème congrès international des architectes et des techniciens des monuments historiques (ci-après : Charte de Venise), la notion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Charte de Venise).</w:t>
      </w:r>
    </w:p>
    <w:p>
      <w:r>
        <w:t>c.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(cf. notamment : P. VOGEL, op. cit., p. 25) ; la jurisprudence a pris acte de cette évolution (ATF 126 I 219 consid. 2e p. 223 ; Arrêt du Tribunal fédéral 1P.842/2005 du 30 novembre 2006). Alors qu'à l'origine, les mesures de protection visaient essentiellement les monuments historiques, à savoir des édifices publics, civils ou religieux, ainsi que des sites et objets à valeur archéologique, elle s'est peu à peu étendue à des immeubles et objets plus modestes, que l'on a qualifié de patrimoine dit « mineur », pour enfin s'ouvrir sur une prise de conscience de l'importance du patrimoine hérité du XIXe siècle et de la nécessité de sauvegarder un patrimoine plus récent, voire contemporain (ATA/105/2006 du 7 mars 2006 ; ATA/89/2000 du 8 février 2000). Néanmoins, comme tout objet construit ne mérite pas une protection, il faut procéder à une appréciation d'ensemble, en fonction de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p. 275 ; 118 Ia 384 consid. 5a p. 389 ; Arrêt du Tribunal fédéral 1C_32/2012 du 7 septembre 2012 consid. 6.1 ; ATA/428/2010 du 22 juin 2010 et les références citées). 9) a. Selon une jurisprudence bien établie, la chambre de céans observe une certaine retenue pour éviter de substituer sa propre appréciation à celle des commissions de préavis pour autant que l'autorité inférieure suive l'avis de celles- ci.</w:t>
      </w:r>
    </w:p>
    <w:p>
      <w:r>
        <w:t>b. Si la consultation de la CMNS est imposée par la loi, le préavis de cette commission a un poids certain dans l'appréciation qu'est amenée à effectuer l'autorité de recours. En revanche, la chambre administrative ne s'impose pas de</w:t>
      </w:r>
    </w:p>
    <w:p>
      <w:r>
        <w:t>- 11/14 - A/1982/2012 réserves face à un préavis négatif de la CMNS lorsque ce dernier a été requis sans nécessité et que l'objet architectural litigieux n'est pas complexe (ATA/529/2012 du 21 août 2012 ; ATA/676/2006 du 19 décembre 2006). 10) En l’espèce, la demande de classement porte sur l’enveloppe extérieure du bâtiment no E 140 et ses parties intérieures dignes de protection, ainsi que sur la parcelle no 824. Les préavis recueillis par l’autorité intimée ont tous été favorables au classement de la « villa Merry » et de la « villa Marie ».</w:t>
      </w:r>
    </w:p>
    <w:p>
      <w:r>
        <w:t>La SCMA et la CMNS, reprenant largement l’étude historique réalisée par Mme Domeniconi-Gueissaz, ont soulevé les qualités exceptionnelles de celles-ci justifiant le classement contesté. Le quartier des Allières où elles sont implantées étant appelé à se développer, le classement de ces deux villas permettrait de les conserver dans un alignement déjà marqué d’immeubles contemporains de très belles factures. Leur désignation de villas florentines leur venait du style propre aux « villas Liberty » que l’on peut trouver en Toscane. L’architecture remarquable de la « villa Marie », visible depuis la route de Chêne, a été conservée et l’organisation interne d’origine a été préservée. Une grande partie des sols, les manteaux de cheminée, boiseries, huisseries, moulures et rosaces, sans compter la ferronnerie, les vitraux et les peinture de la frise sous toiture ont également été sauvegardés.</w:t>
      </w:r>
    </w:p>
    <w:p>
      <w:r>
        <w:t>Selon la Ville, l’intérêt patrimonial des bâtiments nos 140 et 142 a été relevé par plusieurs auteurs d’ouvrages consacrés à l’architecture genevoise. D’une typologie originale, leur enveloppe emprunte un style méridional inédit à Genève et leur architecture est d’une qualité particulièrement élevée.</w:t>
      </w:r>
    </w:p>
    <w:p>
      <w:r>
        <w:t>Il en résulte que les préavis pertinents, en l’espèce ceux de la CMNS et de la Ville, sont favorables au classement du bâtiment no 140 dans son ensemble et de la parcelle sur laquelle elle est située. Ces préavis ont été rendus par des personnes compétentes en la matière et reposent sur une étude approfondie et historique du dossier. Dans ce contexte, le classement de la parcelle précitée, de l’enveloppe extérieure ainsi que des éléments dignes d’intérêts situés à l’intérieur de la « villa Marie » est justifié.</w:t>
      </w:r>
    </w:p>
    <w:p>
      <w:r>
        <w:t>Au vu de ce qui précède, le Conseil d’Etat n’a pas mésusé de son pouvoir d’appréciation en prononçant la mesure contestée. 11) Reste à déterminer si la décision de classement litigieuse est compatible avec les libertés constitutionnelles du recourant, en particulier avec la garantie de la propriété. 12) a. L'assujettissement d'un immeuble à des mesures de conservation ou de protection du patrimoine naturel ou bâti constitue une restriction du droit de propriété garanti par l'art. 26 al. 1 de la Constitution fédérale de la Confédération</w:t>
      </w:r>
    </w:p>
    <w:p>
      <w:r>
        <w:t>- 12/14 - A/1982/2012 suisse du 18 avril 1999 (Cst. - RS 101) ; pour être compatible avec cette disposition, l'assujettissement doit donc reposer sur une base légale, être justifié par un intérêt public et respecter le principe de la proportionnalité (art. 36 al. 1 à 3 Cst. ; ATF 126 I 219 consid. 2a p. 221 et les arrêts cités ; ATA/427/2010 du 22 juin 2010).</w:t>
      </w:r>
    </w:p>
    <w:p>
      <w:r>
        <w:t>b. En principe, les restrictions de la propriété ordonnées pour protéger les monuments et les sites naturels ou bâtis sont d'intérêt public et celui-ci prévaut sur l'intérêt privé lié à une utilisation financière optimale du bâtiment (ATF 126 I 219 consid. 2c p. 221 ; 120 Ia 270 consid. 6c p. 285 ; 119 Ia 305 consid. 4b p. 309). Pour le classement d'un bâtiment, la jurisprudence prescrit de prendre en considération les aspects culturels, historiques, artistiques et urbanistiques. La mesure ne doit pas être destinée à satisfaire uniquement un cercle restreint de spécialistes ; elle doit au contraire apparaître légitime aux yeux du public ou d'une grande partie de la population, pour avoir en quelque sorte une valeur générale (Arrêt du Tribunal fédéral 1P.28/2004 précité, consid. 2.2.1)</w:t>
      </w:r>
    </w:p>
    <w:p>
      <w:r>
        <w:t>c.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(Arrêt du Tribunal fédéral 1P.842/2005 précité, consid. 2.4). Sous ce dernier aspect (principe de proportionnalité au sens étroit), une mesure de protection des monuments est incompatible avec la Constitution si, dans la pesée des intérêts en présence, elle produit des effets insupportables pour le propriétaire. Savoir ce qu'il en est ne dépend pas seulement de l'appréciation des conséquences financières de la mesure critiquée, mais aussi de son caractère nécessaire : plus un bâtiment est digne d'être conservé, moins les exigences de la rentabilité doivent être prises en compte (ATF 118 Ia 384 consid. 5e p. 393).</w:t>
      </w:r>
    </w:p>
    <w:p>
      <w:r>
        <w:t>d. En d’autres termes, la mesure de protection doit respecter la règle de la nécessité. A cet égard, il sied de relever que le classement est certes la mesure la plus intensive des instruments de protection du patrimoine. Ainsi, en droit genevois, l’immeuble classé ne peut, sans l’autorisation du Conseil d’Etat, être démoli, faire l’objet de transformations importantes ou d’un changement dans sa destination (art. 15 al. 1 LPMNS). Les simples travaux ordinaires d’entretien et les transformations de peu d’importance peuvent être autorisés par l’autorité compétente, pour autant qu’ils aient fait l’objet d’un préavis favorable de la part de la CMNS et d’une demande d’autorisation ordinaire au sens de l’art. 3 al. 1 de la loi sur les constructions et les installations diverses du 14 avril 1988 (LCI - L 5 05) à l’exclusion des procédures accélérées prévues à l’art. 3, al. 7 et 8 de ladite loi (art. 15 al. 3 LPMNS).</w:t>
      </w:r>
    </w:p>
    <w:p>
      <w:r>
        <w:t>- 13/14 - A/1982/2012 13) En l'occurrence, contrairement à ce que soutient le recourant, le Conseil d’Etat ne s’est pas uniquement basé sur les constatations de l’étude historique réalisée en août 2008 pour fonder sa décision. En effet, selon les différents préavis favorables à son classement, la « villa Marie » présente un intérêt architectural et historique. De surcroît, l'urbanisation du quartier des Allières commande la préservation des deux villas florentines et des parcelles sur lesquelles elles sont érigées. Ces éléments sont suffisants pour saisir la valeur historique, culturelle et patrimoniale du bâtiment no 140.</w:t>
      </w:r>
    </w:p>
    <w:p>
      <w:r>
        <w:t>Le classement implique le maintien de l’immeuble non seulement dans son aspect mais aussi dans sa substance et la préservation de tous les éléments dignes d'intérêt qui la composent. Néanmoins, le classement n'interdit pas la possibilité de faire des travaux sur le bâtiment protégé. Le recourant tient d’ailleurs à respecter et préserver le style et les valeurs de sa villa. Les effets du classement contesté seront ainsi peu contraignants pour lui.</w:t>
      </w:r>
    </w:p>
    <w:p>
      <w:r>
        <w:t>Il s’ensuit que la mesure de classement, en tant qu’elle porte sur l’intégralité du bâtiment no 140 et sur la parcelle n° 824, n’est pas constitutive d’une atteinte grave au droit de propriété du recourant. L’argument selon lequel la mesure de classement viole le principe de la proportionnalité n’est donc pas fondé.</w:t>
      </w:r>
    </w:p>
    <w:p>
      <w:r>
        <w:t>Dès lors, l'intérêt privé du recourant doit céder le pas devant l'intérêt public à la protection du patrimoine poursuivi par l'arrêté attaqué, si bien que ce dernier ne viole pas le sous-principe de la proportionnalité au sens étroit 14) Au vu de ce qui précède, le recours sera rejeté. Un émolument de CHF 1'000.- sera mis à la charge du recourant. Vu l’issue du litige,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