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ATA/642/2016 vom 26. Juli 2016</w:t>
      </w:r>
    </w:p>
    <w:p>
      <w:r>
        <w:t>GE Cour de justice, 2016-07-26, FR</w:t>
      </w:r>
    </w:p>
    <w:p>
      <w:r>
        <w:rPr>
          <w:b/>
        </w:rPr>
        <w:t xml:space="preserve">Quelle: </w:t>
      </w:r>
      <w:r>
        <w:t>https://mcp.opencaselaw.ch/entscheid/ge_gerichte_ATA_642_2016</w:t>
      </w:r>
    </w:p>
    <w:p>
      <w:r>
        <w:t>FR: GE_GERICHTE ATA/642/2016 du 26 juillet 2016</w:t>
      </w:r>
    </w:p>
    <w:p>
      <w:r>
        <w:t>IT: GE_GERICHTE ATA/642/2016 del 26 luglio 2016</w:t>
      </w:r>
    </w:p>
    <w:p>
      <w:pPr>
        <w:pStyle w:val="Heading2"/>
      </w:pPr>
      <w:r>
        <w:t>Regeste</w:t>
      </w:r>
    </w:p>
    <w:p>
      <w:r>
        <w:t>Résumé: Ressortissante roumaine sans emploi, dépendant de l'aide sociale, divorcée après un mariage ayant duré moins de trois ans ne pouvant ainsi pas prétendre à une autorisation de séjour, sa situation ne constituant de plus pas un cas de rigueur, l'autorité était habilitée à prononcer son renvoi de Suisse.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 recourante a, dans son acte de recours, conclu à titre préalable à son audition par la chambre administrative.</w:t>
      </w:r>
    </w:p>
    <w:p>
      <w:r>
        <w:t>b. La procédure administrative est en principe écrite, toutefois si le règlement et la nature de l’affaire le requièrent, l’autorité peut procéder oralement (art. 18 LPA).</w:t>
      </w:r>
    </w:p>
    <w:p>
      <w:r>
        <w:t>c.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w:t>
      </w:r>
    </w:p>
    <w:p>
      <w:r>
        <w:t>- 7/13 - A/2488/2014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ATA/123/2016 du 9 février 2016 consid. 4b).</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ATA/48/2016 du 19 janvier 2016 consid. 3b ; ATA/24/2014 du 14 janvier 2014 ; ATA/305/2013 du 14 mai 2013).</w:t>
      </w:r>
    </w:p>
    <w:p>
      <w:r>
        <w:rPr>
          <w:b/>
        </w:rPr>
        <w:t>E. 3</w:t>
      </w:r>
    </w:p>
    <w:p>
      <w:r>
        <w:t>En l'espèce, Mme A______ a pu s'exprimer à divers stades de la procédure, choisissant néanmoins de ne pas donner suite à l'invite de formuler des observations consécutives à la réponse de l'OCPM.</w:t>
      </w:r>
    </w:p>
    <w:p>
      <w:r>
        <w:t>Elle n'explique par ailleurs nullement en quoi son audition serait nécessaire à l'élucidation des faits, se contentant de proposer son audition à titre de confirmation de certains de ses allégués, dont aucun n'est en réalité contesté à ce stade de la procédure – étant précisé toutefois qu'en ce qui concerne l'activité indépendante qu'elle dit vouloir exercer, son audition ne serait pas à même de prouver autre chose que de simples velléités, le retrait de sa prévoyance professionnelle et l'exercice effectif d'une telle activité pouvant et devant quant à eux être prouvés par pièces.</w:t>
      </w:r>
    </w:p>
    <w:p>
      <w:r>
        <w:t>Par conséquent, les requêtes d'administration de preuves de la recourante seront rejetées.</w:t>
      </w:r>
    </w:p>
    <w:p>
      <w:r>
        <w:rPr>
          <w:b/>
        </w:rPr>
        <w:t>E. 4</w:t>
      </w:r>
    </w:p>
    <w:p>
      <w:r>
        <w:t>Le litige porte sur le refus par l’OCPM de renouveler l’autorisation de séjour de la recourante et sur son renvoi de Suisse.</w:t>
      </w:r>
    </w:p>
    <w:p>
      <w:r>
        <w:rPr>
          <w:b/>
        </w:rPr>
        <w:t>E. 5</w:t>
      </w:r>
    </w:p>
    <w:p>
      <w:r>
        <w:t>a. Aux termes de l’art. 50 al. 1 let. a LEtr, après la dissolution de la famille, le droit du conjoint à l'octroi d'une autorisation de séjour et à la prolongation de sa durée de validité en vertu des art. 42 et 43 LEtr subsiste si l'union conjugale a duré au moins trois ans et que l'intégration est réussie, ces conditions étant cumulatives (ATF 140 II 289 consid. 3.5.3 ; 136 II 113 consid. 3.3.3).</w:t>
      </w:r>
    </w:p>
    <w:p>
      <w:r>
        <w:t>b. Le délai de trois ans prévu par cette disposition se calcule en fonction de la durée pendant laquelle les époux ont fait ménage commun en Suisse (ATF 136 II 113 consid. 3.3.5 ; arrêt du Tribunal fédéral 2C_1111/2015 du</w:t>
      </w:r>
    </w:p>
    <w:p>
      <w:r>
        <w:rPr>
          <w:b/>
        </w:rPr>
        <w:t>E. 9</w:t>
      </w:r>
    </w:p>
    <w:p>
      <w:r>
        <w:t>a. En l'espèce, la recourante n'a pas de travail et n'a pas non plus produit d'offre d'emploi de la part d'un employeur. Elle ne peut ainsi pas se prévaloir de la qualité de travailleur salarié au sens de l'ALCP. Elle ne bénéficie pas non plus du droit de séjourner en Suisse dans le cadre d'une recherche d'emploi (art. 2 § 1, 2ème partie de l'Annexe 1 ALCP), le délai raisonnable pour ce faire étant écoulé.</w:t>
      </w:r>
    </w:p>
    <w:p>
      <w:r>
        <w:t>b. Elle ne peut de même pas se prévaloir de l'art. 12 annexe I ALCP concernant le droit à une autorisation de séjour en vue d'exercer une activité lucrative non salariée, faute d'exercer une activité lucrative indépendante.</w:t>
      </w:r>
    </w:p>
    <w:p>
      <w:r>
        <w:t>c.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w:t>
      </w:r>
    </w:p>
    <w:p>
      <w:r>
        <w:t>- 10/13 - A/2488/2014</w:t>
      </w:r>
    </w:p>
    <w:p>
      <w:r>
        <w:t>d.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w:t>
      </w:r>
    </w:p>
    <w:p>
      <w:r>
        <w:t>e. En l’espèce, la recourante dépend de l'aide sociale de manière continue depuis le 1er octobre 2010, de telle sorte qu'elle ne remplit pas non plus les conditions pour un droit à une autorisation de séjour sans activité lucrative.</w:t>
      </w:r>
    </w:p>
    <w:p>
      <w:r>
        <w:rPr>
          <w:b/>
        </w:rPr>
        <w:t>E. 10</w:t>
      </w:r>
    </w:p>
    <w:p>
      <w:r>
        <w:t>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LEtr).</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rPr>
          <w:b/>
        </w:rPr>
        <w:t>E. 11</w:t>
      </w:r>
    </w:p>
    <w:p>
      <w:r>
        <w:t>En l'espèce, la recourante n'est venue en Suisse qu'à l'âge adulte. Pendant plusieurs années, elle a été au bénéfice d'autorisations de courte durée, retournant vivre dans son pays plusieurs mois par an. Dans la mesure où elle dépend de l'aide sociale pour vivre depuis octobre 2010, on ne peut considérer qu'elle est intégrée en Suisse du point de vue professionnel. Elle ne démontre enfin pas être, sur d'autres plans, en lien si étroit avec la Suisse qu'un retour dans son pays d'origine ne pourrait être envisagé, étant précisé que sa nationalité roumaine lui permet de chercher du travail dans l'ensemble des pays de l'Union européenne.</w:t>
      </w:r>
    </w:p>
    <w:p>
      <w:r>
        <w:t>L'OCP n'a ainsi pas abusé de son pouvoir d'appréciation en estimant qu'aucun motif important ne justifiait la délivrance d'une autorisation de séjour.</w:t>
      </w:r>
    </w:p>
    <w:p>
      <w:r>
        <w:rPr>
          <w:b/>
        </w:rPr>
        <w:t>E. 12</w:t>
      </w:r>
    </w:p>
    <w:p>
      <w:r>
        <w:t>La recourante ne peut enfin se prévaloir de l'art. 30 al. 1 let. k LEtr, qui permet de déroger aux conditions d'admission dans le but de faciliter la réadmission en Suisse d'étrangers qui ont été titulaires d'une autorisation de séjour</w:t>
      </w:r>
    </w:p>
    <w:p>
      <w:r>
        <w:t>- 11/13 - A/2488/2014 ou d'établissement (art. 2 al. 2 LEtr), car elle ne remplit pas la condition d’un cas d'extrême gravité (art. 30 al. 2 LEtr et 49 al. 1 de l’ordonnance relative à l'admission, au séjour et à l'exercice d'une activité lucrative du 24 octobre 2007 - OASA - RS 142.201). À ce dernier égard, l'affection psychique dont souffre la recourante ne saurait être considérée comme si grave qu'elle ne puisse être traitée en Roumanie ou dans un autre pays de l'Union européenne dans lequel la recourante pourrait le cas échéant s'installer. Quant à une péjoration de son état psychique en raison de son départ de Suisse, la jurisprudence retient qu'une telle circonstance est une réaction qui n’est pas rare chez une personne dont la demande d’autorisation de séjour a été rejetée ou révoquée, sans qu’il faille pour autant y voir un obstacle sérieux à l’exécution du renvoi (ATA/675/2014 du 26 août 2014 consid. 8c et les arrêts du TAF cités).</w:t>
      </w:r>
    </w:p>
    <w:p>
      <w:r>
        <w:t>La recourante ne pouvant prétendre à l'octroi d'une autorisation de séjour et à l'existence d'un cas de rigueur, l'autorité était habilitée à prononcer son renvoi de Suisse (ATF 131 II 339 consid. 2 ; arrêt du Tribunal fédéral 2C_1008/2011 du</w:t>
      </w:r>
    </w:p>
    <w:p>
      <w:r>
        <w:rPr>
          <w:b/>
        </w:rPr>
        <w:t>E. 17</w:t>
      </w:r>
    </w:p>
    <w:p>
      <w:r>
        <w:t>mars 2012 consid. 5.1). 13.</w:t>
      </w:r>
    </w:p>
    <w:p>
      <w:r>
        <w:t>Au vu de ce qui précède, le recours sera rejeté. 14.</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