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ATA/640/2015 vom 16. Juni 2015</w:t>
      </w:r>
    </w:p>
    <w:p>
      <w:r>
        <w:t>GE Cour de justice, 2015-06-16, FR</w:t>
      </w:r>
    </w:p>
    <w:p>
      <w:r>
        <w:rPr>
          <w:b/>
        </w:rPr>
        <w:t xml:space="preserve">Quelle: </w:t>
      </w:r>
      <w:r>
        <w:t>https://mcp.opencaselaw.ch/entscheid/ge_gerichte_ATA_640_2015</w:t>
      </w:r>
    </w:p>
    <w:p>
      <w:r>
        <w:t>FR: GE_GERICHTE ATA/640/2015 du 16 juin 2015</w:t>
      </w:r>
    </w:p>
    <w:p>
      <w:r>
        <w:t>IT: GE_GERICHTE ATA/640/2015 del 16 giugno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w:t>
      </w:r>
    </w:p>
    <w:p>
      <w:r>
        <w:t>Le recours est recevable. 2)</w:t>
      </w:r>
    </w:p>
    <w:p>
      <w:r>
        <w:t>Selon l’art. 10 al. 2 LaLEtr, la chambre administrative doit statuer dans les dix jours qui suivent sa saisine. Ayant reçu le recours 8 juin 2015 et statuant ce jour, elle respecte ce délai. 3)</w:t>
      </w:r>
    </w:p>
    <w:p>
      <w:r>
        <w:t>Le recourant sollicite l’audition de sa compagne.</w:t>
      </w:r>
    </w:p>
    <w:p>
      <w:r>
        <w:t>- 7/11 - A/1663/2015</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En l'espèce, la chambre administrative dispose d'un dossier complet lui permettant de trancher le litige et se prononcer sur les griefs soulevés en toute connaissance de cause, sans avoir besoin de procéder à l’audition de l’amie du recourant.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5)</w:t>
      </w:r>
    </w:p>
    <w:p>
      <w:r>
        <w:t>Le recours porte sur le bien-fondé du rejet de la demande de mise en liberté du 20 mai 2015. 6)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w:t>
      </w:r>
    </w:p>
    <w:p>
      <w:r>
        <w:t>À Genève, la personne en détention administrative peut déposer en tout temps une demande de levée de détention (art. 7 al. 4 let. g LaLEtr).</w:t>
      </w:r>
    </w:p>
    <w:p>
      <w:r>
        <w:t>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w:t>
      </w:r>
    </w:p>
    <w:p>
      <w:r>
        <w:t>- 8/11 - A/1663/2015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7) a. Le recourant fait grief à l’intimée de violer l’art. 8 CEDH et son droit au mariage.</w:t>
      </w:r>
    </w:p>
    <w:p>
      <w:r>
        <w:t>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w:t>
      </w:r>
    </w:p>
    <w:p>
      <w:r>
        <w:t>Selon l’art. 12 CEDH, à partir de l'âge nubile, l'homme et la femme ont le droit de se marier et de fonder une famille selon les lois nationales régissant l'exercice de ce droit.</w:t>
      </w:r>
    </w:p>
    <w:p>
      <w:r>
        <w:t>Selon la jurisprudence, il n’y a pas atteinte à la vie familiale si l’on peut attendre des membres de la famille qu’ils réalisent leur vie de famille à l’étranger (ATF 135 I 153 consid. 2.1).</w:t>
      </w:r>
    </w:p>
    <w:p>
      <w:r>
        <w:t>b. Le recourant est ressortissant de Côte d’Ivoire et sa compagne est française. Aucun des deux ne possède le droit de résider sur territoire helvétique. Leurs démarches pour se marier ont été entreprises en France. Compte tenu de ce qui précède, le renvoi du recourant de Suisse n’empêche pas son mariage avec son amie. Il sera loisible aux intéressés de poursuivre leurs démarches en vue de leur mariage en France, depuis la Côte d’Ivoire pour ce qui concerne le recourant, ou d’examiner s’il leur est possible de se marier en Côte d’Ivoire, s’ils le souhaitent.</w:t>
      </w:r>
    </w:p>
    <w:p>
      <w:r>
        <w:t>Le grief est infondé. 8)</w:t>
      </w:r>
    </w:p>
    <w:p>
      <w:r>
        <w:t>Le recourant se réfère à la situation suisse, arguant de la tolérance des autorités helvétiques à ce qu’un étranger réside sur le territoire helvétique dès le moment où des démarches pour se marier sont entreprises.</w:t>
      </w:r>
    </w:p>
    <w:p>
      <w:r>
        <w:t>- 9/11 - A/1663/2015</w:t>
      </w:r>
    </w:p>
    <w:p>
      <w:r>
        <w:t>Il n’est pas nécessaire d’examiner le bien-fondé de cette comparaison dès lors que les intéressés ne sont pas dans la situation mentionnée puisqu’aucun des deux n’est ressortissant helvétique ni n’est autorisé à séjourner en Suisse et que les intéressés entendent s’unir en France.</w:t>
      </w:r>
    </w:p>
    <w:p>
      <w:r>
        <w:t>Pour le surplus, contrairement à ce que prétend le recourant, la jurisprudence du Tribunal fédéral a rappelé la volonté du législateur en édictant l'art. 98 al. 4 du Code civil suisse du 10 décembre l907 (CCS - RS 210) de briser l'automatisme qui a pu exister, dans le passé, entre l'introduction d'une demande en mariage et l'obtention d'une autorisation de séjour pour préparer et célébrer le mariage (ATF 137 I 351 consid. 3.7 p. 360, confirmé in ATF 138 I 41 consid. 4 p. 47 ; arrêts du Tribunal fédéral 2C_994/2013 du 20 janvier 2014, consid. 4.1 ; 2C_643/2012 du 18 septembre 2012, consid. 3.1 ; 2C_117/2012 du 11 juin 2012, consid. 4.2).</w:t>
      </w:r>
    </w:p>
    <w:p>
      <w:r>
        <w:t>Le grief est infondé. 9)</w:t>
      </w:r>
    </w:p>
    <w:p>
      <w:r>
        <w:t>Le recourant prétend que les démarches entreprises suffisent à lui garantir le droit de résider en France.</w:t>
      </w:r>
    </w:p>
    <w:p>
      <w:r>
        <w:t>L’art. 7 al. 1 LEtr prévoit que l’entrée et la sortie de Suisse sont régies par les accords d’association à Schengen énumérés dans l’annexe 1 de la LEtr.</w:t>
      </w:r>
    </w:p>
    <w:p>
      <w:r>
        <w:t>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(ATA/364/2015 du 20 avril 2015).</w:t>
      </w:r>
    </w:p>
    <w:p>
      <w:r>
        <w:t>En l'espèce, M. A______ ne dispose d'aucun titre de séjour qui lui permettrait de se rendre légalement dans un autre État que son pays d'origine. Il ne conteste pas ne pas disposer d’un droit de séjour en France. Bien au contraire, dès lors qu’il a déposé une demande d’asile, refusée,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 (ATA/364/2015 précité).</w:t>
      </w:r>
    </w:p>
    <w:p>
      <w:r>
        <w:t>- 10/11 - A/1663/2015</w:t>
      </w:r>
    </w:p>
    <w:p>
      <w:r>
        <w:t>Les autorités helvétiques n’ont, en l’état, pas la possibilité de renvoyer l’intéressé en France pour les motifs précités.</w:t>
      </w:r>
    </w:p>
    <w:p>
      <w:r>
        <w:t>Le grief est infondé. 10) En conséquence, aucun élément du dossier ne permet de retenir que l’un des cas prévus à l’art. 80 al. 6 LEtr serait rempli. L’exécution du renvoi ne s’avère pas impossible pour des raisons juridiques ou matérielles. L’exécution du renvoi est possible, licite et peut être raisonnablement exigée au sens de l’art. 83 al. 1 LEtr. 11) Le recourant n’invoque aucun autre grief à l’encontre de la détention administrative dont il fait l’objet.</w:t>
      </w:r>
    </w:p>
    <w:p>
      <w:r>
        <w:t>Celle-ci devrait en tous les cas être confirmée. C’est en effet à juste titre que le TAPI a considéré que les conditions de l’art. 76 al. 1 let. b ch. 3 et 4 LEtr étaient remplies compte tenu de l’attitude de l’intéressé principalement ses deux disparitions, le refus de monter dans l’avion, notamment le 9 avril 2015, ainsi que ses affirmations selon lesquelles il s’opposait à son renvoi (JTAPI/428/2015 du 13 avril 2015). Aucun recours n’a d’ailleurs été interjeté contre ce jugement.</w:t>
      </w:r>
    </w:p>
    <w:p>
      <w:r>
        <w:t>b. Par ailleurs placé en détention administrative le 9 avril 2015, celle-ci respecte le principe de la proportionnalité. La durée de l'ordre de mise en détention de trois mois a été analysée dans le jugement précité. Dès lors que la détention est due au non-respect d’une décision définitive et exécutoire d’interdiction d’entrée, la mise en détention administrative - qui s’inscrit dans le cadre des dix-huit mois de détention autorisés - respecte le cadre légal. 12) Mal fondé, le recours sera rejeté.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