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ATA/63/2022 vom 25. Januar 2022</w:t>
      </w:r>
    </w:p>
    <w:p>
      <w:r>
        <w:t>GE Cour de justice, 2022-01-25, FR</w:t>
      </w:r>
    </w:p>
    <w:p>
      <w:r>
        <w:rPr>
          <w:b/>
        </w:rPr>
        <w:t xml:space="preserve">Quelle: </w:t>
      </w:r>
      <w:r>
        <w:t>https://mcp.opencaselaw.ch/entscheid/ge_gerichte_ATA_63_2022</w:t>
      </w:r>
    </w:p>
    <w:p>
      <w:r>
        <w:t>FR: GE_GERICHTE ATA/63/2022 du 25 janvier 2022</w:t>
      </w:r>
    </w:p>
    <w:p>
      <w:r>
        <w:t>IT: GE_GERICHTE ATA/63/2022 del 25 gennaio 2022</w:t>
      </w:r>
    </w:p>
    <w:p>
      <w:pPr>
        <w:pStyle w:val="Heading2"/>
      </w:pPr>
      <w:r>
        <w:t>Erwägungen</w:t>
      </w:r>
    </w:p>
    <w:p>
      <w:r>
        <w:rPr>
          <w:b/>
        </w:rPr>
        <w:t>E. 12</w:t>
      </w:r>
    </w:p>
    <w:p>
      <w:r>
        <w:t>septembre 1985 - LPA - E 5 10). 2)</w:t>
      </w:r>
    </w:p>
    <w:p>
      <w:r>
        <w:t>L'objet du litige est la confirmation par le TAPI du refus de l'OCPM d'accorder à la recourante et à son fils mineur un permis de séjour pour cas de rigueur. 3)</w:t>
      </w:r>
    </w:p>
    <w:p>
      <w:r>
        <w:t>La recourante sollicite son audition, celle de son fils, de même que de deux témoins. Le TAPI aurait violé son droit d'être entendue en ne convoquant pas une audience pour l'entendre, de même que ces deux témoins.</w:t>
      </w:r>
    </w:p>
    <w:p>
      <w:r>
        <w:t>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En outre, il n'implique pas le droit d'être entendu oralement, ni celui d'obtenir l'audition de témoins (ATF 140 I 285 consid. 6.3.1 ; arrêt du Tribunal fédéral 2D_51/2018 du 17 janvier 2019 consid. 4.1).</w:t>
      </w:r>
    </w:p>
    <w:p>
      <w:r>
        <w:t>b.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w:t>
      </w:r>
    </w:p>
    <w:p>
      <w:r>
        <w:t>- 10/20 - A/1346/2021</w:t>
      </w:r>
    </w:p>
    <w:p>
      <w:r>
        <w:t>c. En l'espèce, le dossier contient déjà les éléments nécessaires à l'examen de la situation de la recourante et de son fils, sans que son audition, celle de ce dernier, ainsi que des deux témoins concernés ne soient susceptibles de changer l'appréciation de la chambre de céans. Par ailleurs, la recourante, qui n'a pas de droit à être entendue oralement, a pu s'exprimer par écrit tant devant l'autorité intimée que devant l'instance précédente et la chambre de céans, l'ensemble de ses écritures figurant en outre au dossier et a pu produire toutes pièces utiles, étant relevé qu'elle n'en a devant la chambre de céans pas produites qui actualiseraient sa situation depuis le jugement entrepris du mois de septembre 2021. Enfin, la chambre de céans ne remet pas en cause les éléments qu'elle avance à l'appui de son argumentation et n'a donc pas besoin de se faire une idée directe de sa crédibilité, pas plus que de celle de son fils mineur.</w:t>
      </w:r>
    </w:p>
    <w:p>
      <w:r>
        <w:t>En définitive, la chambre dispose d'un dossier complet lui permettant de trancher le litige en toute connaissance de cause et il ne sera pas donné suite à ces demandes d'audition. C'est ainsi à juste titre que le TAPI a valablement renoncé aux auditions requises devant lui, de sorte que le droit d'être entendu des recourants n'a pas été violé.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 a. Le 1er janvier 2019 est entrée en vigueur une modification de la loi sur les étrangers du 16 décembre 2005 (aLEtr), qui a alors été renommée LEI, et de l'ordonnance relative à l'admission, au séjour et à l'exercice d'une activité lucrative du 24 octobre 2007 (OASA - RS 142.201). Conformément à l'art. 126 al. 1 LEI, les demandes déposées avant le 1er janvier 2019 sont régies par l'ancien droit, étant précisé que la plupart des dispositions sont demeurées identiques (arrêts du Tribunal fédéral 2C_737/2019 du 27 septembre 2019 consid. 4.1 ; 2C_841/2019 du 11 octobre 2019 consid. 3).</w:t>
      </w:r>
    </w:p>
    <w:p>
      <w:r>
        <w:t>b. En l'espèce, la demande d'autorisation de séjour est postérieure au 1er janvier 2019, de sorte que la cause est soumise au nouveau droit.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d'Albanie.</w:t>
      </w:r>
    </w:p>
    <w:p>
      <w:r>
        <w:t>- 11/20 - A/1346/2021 7) 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w:t>
      </w:r>
    </w:p>
    <w:p>
      <w:r>
        <w:t>- 12/20 - A/1346/2021</w:t>
      </w:r>
    </w:p>
    <w:p>
      <w:r>
        <w:t>d.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t>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f.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g.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w:t>
      </w:r>
    </w:p>
    <w:p>
      <w:r>
        <w:t>- 13/20 - A/1346/2021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h.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w:t>
      </w:r>
    </w:p>
    <w:p>
      <w:r>
        <w:t>i.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w:t>
      </w:r>
    </w:p>
    <w:p>
      <w:r>
        <w:t>- 14/20 - A/1346/2021 du 31 mai 2006 consid. 3.1 ; arrêt du Tribunal administratif fédéral C-3592/2010 du 8 octobre 2012 consid. 6.2 ; ATA/434/2020 du 31 avril 2020 consid. 10). 8)</w:t>
      </w:r>
    </w:p>
    <w:p>
      <w:r>
        <w:t>En l'espèce, mère et fils ne sont pas arrivés en Suisse en même temps et ne le prétendent au demeurant pas. Le TAPI a retenu la situation la plus favorable à la recourante d'une arrivée en 2012, quand bien même les pièces de son dossier ne démontrent nullement une arrivée pas plus qu'un séjour continu depuis lors. Le TAPI a à juste titre considéré que son fils n'y était arrivé au plus tôt que postérieurement au 27 août 2018, correspondant au timbre humide le plus récent dans son passeport d'une arrivée à Genève par voie aérienne, et considérant qu'il n'y avait été scolarisé que depuis l'année scolaire 2019-2020. La recourante était donc âgée de 20 ans à son arrivée et son fils de 8 ans dans l'hypothèse d'une arrivée à Genève en 2018.</w:t>
      </w:r>
    </w:p>
    <w:p>
      <w:r>
        <w:t>Si la durée du séjour en Suisse de la recourante est désormais de plus de dix ans, elle doit être fortement relativisée dans la mesure où ce séjour a été illégal jusqu'à fin juillet 2019, moment de sa demande de régularisation et, depuis lors, au bénéfice de la seule tolérance des autorités suisses. La durée de séjour en Suisse de son fils est courte, de trois ans environ, soit inférieure aux cinq ans retenus comme valeur indicative dans la situation spécifique des familles, selon la Directive LEI précitée.</w:t>
      </w:r>
    </w:p>
    <w:p>
      <w:r>
        <w:t>Les emplois de la recourante, comme serveuse, étant relevé que le contrat la liant à une entreprise de faux-plafonds, de même que les certificats de travail délivrés par celle-ci pour les années 2012 à 2015 sont dépourvus d'une quelconque force probante, la recourante apparaissant sur le premier de ces documents comme un homme occupé comme manœuvre – aide plâtrier et elle-même ayant indiqué dans son acte de recours au TAPI que depuis 2012, qu’elle avait travaillé dans plusieurs cantons, mais n’avait jamais eu d’emploi stable – ne sont pas constitutifs d'une ascension professionnelle remarquable et ne l'ont pas conduite à acquérir des connaissances professionnelles spécifiques à la Suisse, comme pourrait l'être une formation dans l'horlogerie par exemple (ATA/526/2021 du 18 mai 2021), qu'elle ne pourrait mettre à profit dans un autre pays, en particulier son pays d'origine.</w:t>
      </w:r>
    </w:p>
    <w:p>
      <w:r>
        <w:t>Comme relevé à bon escient par l'OCPM, ce n'est que très récemment, soit en mai 2021, que la recourante a produit un contrat de sous-location, pour un appartement de trois pièces qu’elle occupe avec un colocataire. Auparavant, elle a constamment indiqué à l'OCPM une adresse à J______, correspondant à la localisation de l'un de ses employeurs, dans un immeuble de la zone industrielle de J______. On ignore donc où elle a réellement résidé jusqu'au printemps 2021, la recourante refusant de donner toute indication concrète à cet égard pour la raison qu'elle ne voudrait pas causer du tort à la personne l'ayant hébergée.</w:t>
      </w:r>
    </w:p>
    <w:p>
      <w:r>
        <w:t>- 15/20 - A/1346/2021</w:t>
      </w:r>
    </w:p>
    <w:p>
      <w:r>
        <w:t>Si tout comme son fils elle a pu se créer un cercle d'amis, ce qui au demeurant n'est attesté par aucun document, étant relevé qu'elle a requis uniquement l'audition du témoin G______ susceptible de s'exprimer sur ce point, les relations de travail, d'amitié, de voisinage que l'étranger noue durant son séjour en Suisse ne constituent pas, à elles seules, des circonstances de nature à justifier un cas de rigueur (arrêts du TAF F-3168/2015 du 6 août 2018 consid. 8.5.2 ; F- 643/2016 du 24 juillet 2017 consid. 5.2.3). Par ailleurs, l'indépendance économique est un des aspects qui sont en principe attendus de tout étranger désireux de s'établir durablement en Suisse et ne constituent donc pas un élément extraordinaire en sa faveur. Ainsi, si ces éléments pourraient être favorables à la recourante, ils relèvent du comportement que l’on est en droit d’attendre de toute personne séjournant dans le pays (arrêts du Tribunal fédéral 2C_779/2016 du 13 septembre 2016 consid. 4.2 ; 2C_789/2014 du 20 février 2015 consid. 2.2.2).</w:t>
      </w:r>
    </w:p>
    <w:p>
      <w:r>
        <w:t>C'est vainement que la recourante cherche à relativiser les deux condamnations inscrites à son casier judiciaire liées certes, pour la première, uniquement à son statut illégal en Suisse, ce qui n'est pas le cas de la plus récente, de novembre 2018. Elle concerne en effet également un vol, soit un délit sanctionné en l'espèce par une peine pécuniaire (art. 10 al. 3 et 34 du Code pénal suisse du 21 décembre 1937 [CP - RS 311.0]). Ainsi, la recourante a par deux fois contrevenu à l'ordre juridique suisse, dont la seconde fois en s'attaquant au patrimoine d'autrui. Quand bien même elle cherche à minimiser les faits à la base de cette condamnation, il n'en demeure pas moins qu'elle est définitive, raison pour laquelle elle apparaît à son casier judiciaire.</w:t>
      </w:r>
    </w:p>
    <w:p>
      <w:r>
        <w:t>La recourante n'est aucunement active dans la vie associative et les cours de karaté que suit son fils ne suffisent pas au sens de la jurisprudence pour fonder une intégration exceptionnelle. Enfin, les cours de français de niveau A1 suivis encore en 2021 par la recourante, sont insuffisants pour démontrer une telle intégration en Suisse où elle a vécu environ dix ans.</w:t>
      </w:r>
    </w:p>
    <w:p>
      <w:r>
        <w:t>S'agissant des possibilités de réintégration des recourants dans leur pays d'origine, tous deux sont nés en Albanie, dont ils parlent la langue et où la recourante a vécu ses vingt premières années et son fils environ huit/neuf ans. L'enfant est ainsi arrivé avant l'âge charnière de l'adolescence qu'il n'a pas encore entamée. Il ne fréquente pas encore le cycle d'orientation. Au demeurant, vu la courte durée de son séjour en Suisse et nonobstant des résultats scolaires lui ayant permis d'intégrer le cursus ordinaire, son intégration ne peut encore être qualifiée de remarquable. La mère et son fils sont en bonne santé et, de retour dans leur pays d'origine, ils pourront faire valoir les connaissances linguistiques acquises en Suisse et la première son expérience professionnelle.</w:t>
      </w:r>
    </w:p>
    <w:p>
      <w:r>
        <w:t>Il n'est dès lors, dans ces circonstances, pas concevable que leur pays d'origine soit devenu à ce point étranger qu'ils ne seraient plus en mesure, après une période de réadaptation, d'y retrouver leurs repères. Le père de l'enfant y vit et</w:t>
      </w:r>
    </w:p>
    <w:p>
      <w:r>
        <w:t>- 16/20 - A/1346/2021 il est allégué que tous deux se contactent par visioconférence, de sorte qu'il doit être retenu que la relation n'a pas été interrompue par le départ de l'enfant en Suisse.</w:t>
      </w:r>
    </w:p>
    <w:p>
      <w:r>
        <w:t>Ainsi, il ne peut être retenu qu'un retour en Albanie constituerait pour les recourants un déracinement important et présenterait une rigueur excessive au sens retenu par la jurisprudence. Il n'apparaît pas que les difficultés auxquelles ils devraient faire face seraient pour eux plus graves que pour la moyenne des étrangers de la même origine retournant dans leur pays.</w:t>
      </w:r>
    </w:p>
    <w:p>
      <w:r>
        <w:t>À cet égard, il sera relevé que la recourante est retournée voir des membres de sa famille avec son fils au début de l'année 2021, ce qui relativise fortement ses allégations selon lesquelles ses relations avec sa famille et sa belle-famille seraient tendues, à la suite de son divorce, au point de craindre des représailles sur place, mot qu'elle n'utilise au demeurant pas même en lien avec cette situation, évoquant tout au plus une absence de respect de leur part.</w:t>
      </w:r>
    </w:p>
    <w:p>
      <w:r>
        <w:t>Les recourants ne présentent donc pas une situation de détresse personnelle au sens de l'art. 30 al. 1 let. b LEI, ce quand bien même il ne peut être nié qu'un retour dans leur pays d'origine pourra engendrer pour eux certaines difficultés de réadaptation.</w:t>
      </w:r>
    </w:p>
    <w:p>
      <w:r>
        <w:t>Il ne se justifie en conséquence pas de déroger aux conditions d'admission en Suisse en faveur des recourants, au vu de la jurisprudence très stricte en la matière. Il est en effet rappelé qu’il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Il appert également du libellé de l'art. 30 al. 1 let. b LEI (« cas individuel d'une extrême gravité ») que cette disposition constitue une disposition dérogatoire présentant un caractère exceptionnel.</w:t>
      </w:r>
    </w:p>
    <w:p>
      <w:r>
        <w:t>Enfin, il sera rappelé que l’autorité intimée bénéficie d’un large pouvoir d’appréciation que la chambre de céans ne revoit qu’en cas d’abus ou d’excès. Tel n’est toutefois pas le cas en l’espèce.</w:t>
      </w:r>
    </w:p>
    <w:p>
      <w:r>
        <w:t>L'autorité intimée était en conséquence fondée à refuser de donner une suite positive à la demande d'autorisation de séjour déposée par les recourants et l'instance précédente à confirmer ledit refus. 9)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w:t>
      </w:r>
    </w:p>
    <w:p>
      <w:r>
        <w:t>- 17/20 - A/1346/2021 demande d'autorisation (ATA/1798/2019 du 10 décembre 2019 consid. 6 et les arrêts cités). Le renvoi d'une personne étrangère ne peut être ordonné que si l'exécution de celui-ci est possible, licite ou peut être raisonnablement exigée (art. 83 al. 1 LEI).</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w:t>
      </w:r>
    </w:p>
    <w:p>
      <w:r>
        <w:t>b. En l'espèce, rien ne permet de retenir que l'exécution du renvoi de la recourante et de son fils, ne serait pas possible, licite ou raisonnement exigible. Comme déjà relevé, leur situation n'est en tous cas pas si rigoureuse qu'on ne saurait exiger leur retour en Albanie.</w:t>
      </w:r>
    </w:p>
    <w:p>
      <w:r>
        <w:t>Dans ces circonstances, la décision querellée est conforme au droit.</w:t>
      </w:r>
    </w:p>
    <w:p>
      <w:r>
        <w:t>Mal fondé, le recours sera donc rejeté. 10) Vu l'issue du litige, un émolument de CHF 400.- sera mis à la charge des recourants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