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ATA/635/2012 vom 21. September 2012</w:t>
      </w:r>
    </w:p>
    <w:p>
      <w:r>
        <w:t>GE Cour de justice, 2012-09-21, FR</w:t>
      </w:r>
    </w:p>
    <w:p>
      <w:r>
        <w:rPr>
          <w:b/>
        </w:rPr>
        <w:t xml:space="preserve">Quelle: </w:t>
      </w:r>
      <w:r>
        <w:t>https://mcp.opencaselaw.ch/entscheid/ge_gerichte_ATA_635_2012</w:t>
      </w:r>
    </w:p>
    <w:p>
      <w:r>
        <w:t>FR: GE_GERICHTE ATA/635/2012 du 21 septembre 2012</w:t>
      </w:r>
    </w:p>
    <w:p>
      <w:r>
        <w:t>IT: GE_GERICHTE ATA/635/2012 del 21 settembre 2012</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- 3/5 - A/1963/2012</w:t>
      </w:r>
    </w:p>
    <w:p>
      <w:r>
        <w:t>Adressée en temps utile à la chambre de céans, la réclamation est recevable.</w:t>
      </w:r>
    </w:p>
    <w:p>
      <w:r>
        <w:rPr>
          <w:b/>
        </w:rPr>
        <w:t>E. 2</w:t>
      </w:r>
    </w:p>
    <w:p>
      <w:r>
        <w:t>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3</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rPr>
          <w:b/>
        </w:rPr>
        <w:t>E. 4</w:t>
      </w:r>
    </w:p>
    <w:p>
      <w:r>
        <w:t>Dans le cas particulier, il n'est pas arbitraire de refuser d'allouer des dépens à des établissements ou des organismes chargés de tâches de droit public (ATF 112 V p. 49).</w:t>
      </w:r>
    </w:p>
    <w:p>
      <w:r>
        <w:t>a. A l'instar de l'article 68 al. 3 de la loi fédérale sur le Tribunal fédéral du 17 juin 2005 (LTF ; RS 173.110), les collectivités publiques ou les organismes d'une certaine importance sont en mesure de procéder eux-mêmes sans le concours d'un avocat dans l’exercice des tâches qui leur sont confiées. Les collectivités qui ne peuvent prétendre au remboursement de leurs frais d'avocat devraient à tout le moins obtenir, comme la partie qui plaide sa propre cause, des dépens si la tâche accomplie par leurs services et organes apparaît exceptionnellement importante ou si le litige leur a occasionné des frais</w:t>
      </w:r>
    </w:p>
    <w:p>
      <w:r>
        <w:t>- 4/5 - A/1963/2012 particuliers (J.-F. POUDRET, Commentaire de la LOJ, vol. V, Berne 1992, p. 162).</w:t>
      </w:r>
    </w:p>
    <w:p>
      <w:r>
        <w:t>Le Tribunal fédéral a souligné que, au regard de la disposition précitée,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(THOMAS GEISER, Basler Kommentar, Bundesgerichtsgesetz, 2008, n°19 ss ad art. 68 LTF ; CORBOZ, ibidem). Cette règle procède de la volonté de ne pas dissuader le justiciable de recourir contre des décisions étatiques, par crainte du risque de devoir supporter des dépens (arrêt du Tribunal fédéral 8C_151/2010 du 31 août 2010, c. 6.2).</w:t>
      </w:r>
    </w:p>
    <w:p>
      <w:r>
        <w:t>b. Ces principes sont reçus par la chambre administrative, comme ils l’étaient par le Tribunal administratif auquel elle a succédé (ATA/579/2003 du 23 juillet 2003 ; ATA/603/2005 du 16 août 2005 ; ATA/514/2008 du 7 octobre 2008).</w:t>
      </w:r>
    </w:p>
    <w:p>
      <w:r>
        <w:rPr>
          <w:b/>
        </w:rPr>
        <w:t>E. 5</w:t>
      </w:r>
    </w:p>
    <w:p>
      <w:r>
        <w:t>En l’espèce, la Fondation est un organisme de droit public. Elle s’est vue confier une tâche publique, soit la construction et la gestion de logements d’utilité publique (art. 1 al. 2 let c de loi générale sur le logement et la protection des locataires du 4 décembre 1977 - LGL - RS I 4 05). Le législateur a de plus institué un secrétariat des fondations immobilières de droit public chargé d'assurer les tâches administratives et de gestion commune desdites fondations, notamment la réclamante (art. 14F LGL).</w:t>
      </w:r>
    </w:p>
    <w:p>
      <w:r>
        <w:t>De plus, la procédure en cause était typiquement du genre de celles que les organismes soumis à la législation sur les marchés publics doivent affronter. Elle ne présentait ni une complexité particulière, ni des difficultés majeures.</w:t>
      </w:r>
    </w:p>
    <w:p>
      <w:r>
        <w:t>Au vu de ce qui précède, la Fondation n’a pas droit à l’allocation d’une indemnité de procédure, et la réclamation sera rejetée.</w:t>
      </w:r>
    </w:p>
    <w:p>
      <w:r>
        <w:rPr>
          <w:b/>
        </w:rPr>
        <w:t>E. 6</w:t>
      </w:r>
    </w:p>
    <w:p>
      <w:r>
        <w:t>Conformément à la pratique constante de la juridiction de céans, aucun émolument ne sera perçu dans la présente cause (ATA/681/2009 du 22 décembre 2009 et les référence citées). Vu la nature du litige aucun émolument ne sera perçu (art. 87 LPA).</w:t>
      </w:r>
    </w:p>
    <w:p>
      <w:r>
        <w:t>* * * * *</w:t>
      </w:r>
    </w:p>
    <w:p>
      <w:r>
        <w:t>- 5/5 - A/1963/2012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