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ATA/634/2008 vom 23. September 2008</w:t>
      </w:r>
    </w:p>
    <w:p>
      <w:r>
        <w:t>GE Cour de justice, 2008-09-23, FR</w:t>
      </w:r>
    </w:p>
    <w:p>
      <w:r>
        <w:rPr>
          <w:b/>
        </w:rPr>
        <w:t xml:space="preserve">Quelle: </w:t>
      </w:r>
      <w:r>
        <w:t>https://mcp.opencaselaw.ch/entscheid/ge_gerichte_ATA_634_2008</w:t>
      </w:r>
    </w:p>
    <w:p>
      <w:r>
        <w:t>FR: GE_GERICHTE ATA/634/2008 du 23 septembre 2008</w:t>
      </w:r>
    </w:p>
    <w:p>
      <w:r>
        <w:t>IT: GE_GERICHTE ATA/634/2008 del 23 settembre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 la demande d’une partie, la juridiction qui a statué interprète sa décision, lorsqu’elle contient des obscurités ou des contradictions dans le dispositif ou entre le dispositif et les considérants (art. 84 al. 1 LPA).</w:t>
      </w:r>
    </w:p>
    <w:p>
      <w:r>
        <w:t>La demande d’interprétation doit être présentée dans les délais prévus à l’article 63 pour les recours (art. 84 al. 2 LPA).</w:t>
      </w:r>
    </w:p>
    <w:p>
      <w:r>
        <w:rPr>
          <w:b/>
        </w:rPr>
        <w:t>E. 2</w:t>
      </w:r>
    </w:p>
    <w:p>
      <w:r>
        <w:t>La juridiction qui a statué peut rectifier, en tout temps, les fautes de rédaction et les erreurs de calculs (art. 85 LPA).</w:t>
      </w:r>
    </w:p>
    <w:p>
      <w:r>
        <w:rPr>
          <w:b/>
        </w:rPr>
        <w:t>E. 3</w:t>
      </w:r>
    </w:p>
    <w:p>
      <w:r>
        <w:t>En application de l’article 63 alinéa 1 lettre a LPA, le délai de recours est de trente jours dès réception de la décision attaquée.</w:t>
      </w:r>
    </w:p>
    <w:p>
      <w:r>
        <w:t>En adressant au Tribunal administratif une requête en interprétation, respectivement en rectification le 1er octobre 2008 contre l’arrêt précité du 23 septembre 2008, Mme F______ a agi en temps utile.</w:t>
      </w:r>
    </w:p>
    <w:p>
      <w:r>
        <w:rPr>
          <w:b/>
        </w:rPr>
        <w:t>E. 4</w:t>
      </w:r>
    </w:p>
    <w:p>
      <w:r>
        <w:t>Il résulte de l’état de faits précité que les conditions de l’interprétation sont réunies puisqu’il existe une contradiction manifeste entre le considérant 3 et le dispositif de l’arrêt du 23 septembre 2008, ce dernier étant en revanche conforme au considérant 4.</w:t>
      </w:r>
    </w:p>
    <w:p>
      <w:r>
        <w:t>Selon le procès-verbal de la délibération, et surtout du plumitif dudit procès- verbal, le recours a été admis, raison pour laquelle aucun émolument n’a été mis à charge de la partie recourante, soit l’AFC. S’agissant de l’indemnité, le tribunal de céans peut en allouer une à la partie intimée, comme il le fait fréquemment puisque celle-ci, recourante devant l’autorité de première instance, est contrainte de se défendre devant le Tribunal administratif, ce qui engendre des frais pour elle.</w:t>
      </w:r>
    </w:p>
    <w:p>
      <w:r>
        <w:t>En l’espèce toutefois, il faut inférer du dispositif également, que la cause étant renvoyée à la commission, le litige n’était pas définitivement tranché, raison pour laquelle aucune indemnité n’a été allouée. Il apparaît ainsi que le considérant 3 doit être annulé,</w:t>
      </w:r>
    </w:p>
    <w:p>
      <w:r>
        <w:rPr>
          <w:b/>
        </w:rPr>
        <w:t>E. 5</w:t>
      </w:r>
    </w:p>
    <w:p>
      <w:r>
        <w:t>En conséquence, la demande en interprétation et en rectification sera déclarée recevable et admise. Il sera statué sans frais.</w:t>
      </w:r>
    </w:p>
    <w:p>
      <w:r>
        <w:t>* * * * *</w:t>
      </w:r>
    </w:p>
    <w:p>
      <w:r>
        <w:t>- 5/6 - A/3554/2008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