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ATA/633/2023 vom 13. Juni 2023</w:t>
      </w:r>
    </w:p>
    <w:p>
      <w:r>
        <w:t>GE Cour de justice, 2023-06-13, FR</w:t>
      </w:r>
    </w:p>
    <w:p>
      <w:r>
        <w:rPr>
          <w:b/>
        </w:rPr>
        <w:t xml:space="preserve">Quelle: </w:t>
      </w:r>
      <w:r>
        <w:t>https://mcp.opencaselaw.ch/entscheid/ge_gerichte_ATA_633_2023</w:t>
      </w:r>
    </w:p>
    <w:p>
      <w:r>
        <w:t>FR: GE_GERICHTE ATA/633/2023 du 13 juin 2023</w:t>
      </w:r>
    </w:p>
    <w:p>
      <w:r>
        <w:t>IT: GE_GERICHTE ATA/633/2023 del 13 giugno 2023</w:t>
      </w:r>
    </w:p>
    <w:p>
      <w:pPr>
        <w:pStyle w:val="Heading2"/>
      </w:pPr>
      <w:r>
        <w:t>Regeste</w:t>
      </w:r>
    </w:p>
    <w:p>
      <w:r>
        <w:t>Résumé: recours contre un jugement du TAPI confirmant une autorisation de construire une habitation sur une parcelle sise en zone 5. Examen de la qualité pour recourir des voisins sous l'angle de l'intérêt digne de protection. Examen de la recevabilité du recours ; recours recevable même si les voisins n'ont pas expressément conclu à l'annulation du jugement attaqué et de la décision querellée. Conclusions prises devant la chambre administrative irrecevables et au demeurant exorbitantes à l'objet du litige. Rien ne permet de retenir que l’autorité intimée aurait abusé de son pouvoir d’appréciation en se fondant notamment sur le préavis favorable de l'OCAN pour délivrer l’autorisation de construire. Ce dernier a exigé la prise de toutes les précautions nécessaires afin de protéger les arbres maintenus à proximité des travaux et exigé qu'un arboriste-conseil soit mandaté à l'ouverture du chantier. Le plan d'aménagement paysager prévoit l'installation d'une protection racinaire avec dalle suspendue sur le chemin d'accès à la future construction à l'endroit où se trouve le domaine vital de l'arbre litigieux. Mesures jugées suffisantes pour assurer la protection de la végétation, et l'existence d'éventuelles solutions alternatives ne permet pas de retenir le contraire. Recours rejeté.</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149 de la loi sur les constructions et les installations diverses du 14 avril 1988 - LCI - L 5 05).</w:t>
      </w:r>
    </w:p>
    <w:p>
      <w:r>
        <w:t>- 7/16 - A/396/2021</w:t>
      </w:r>
    </w:p>
    <w:p>
      <w:r>
        <w:rPr>
          <w:b/>
        </w:rPr>
        <w:t>E. 1.1</w:t>
      </w:r>
    </w:p>
    <w:p>
      <w:r>
        <w:t>L'intimée soutient que les recourantes ne disposeraient pas de la qualité pour recourir, dans la mesure où leur seul intérêt consisterait à se prémunir de nuisances durant la phase de chantier.</w:t>
      </w:r>
    </w:p>
    <w:p>
      <w:r>
        <w:rPr>
          <w:b/>
        </w:rPr>
        <w:t>E. 1.2</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(ATA/454/2021 du 27 avril 2021 consid. 2a).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(ATA/599/2021 du 8 juin 2021 consid. 8a ; Stéphane GRODECKI/Romain JORDAN, Code annoté de procédure administrative genevoise, 2017, p. 184 n. 698).</w:t>
      </w:r>
    </w:p>
    <w:p>
      <w:r>
        <w:rPr>
          <w:b/>
        </w:rPr>
        <w:t>E. 1.3</w:t>
      </w:r>
    </w:p>
    <w:p>
      <w:r>
        <w:t>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139 II 499 consid. 2.2 ; arrêt du Tribunal fédéral 1C_471/2020 du 19 mai 2021 consid. 1.1 ; ATA/454/2021 du 27 avril 2021 consid. 2b ; Laurent PFEIFFER, La qualité pour recourir en droit de l’aménagement du territoire et de l’environnement, 2013, p. 92).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 arrêt du Tribunal fédéral 1C_343/2014 du 21 juillet 2014 consid. 2.2 ; Heinz AEMISEGGER, in : Heinz AEMISEGGER/Pierre MOOR/Alexander RUCH/Pierre TSCHANNEN [éd.], Commentaire pratique LAT : Autorisation de construire, protection juridique et procédure, 2020, p. 545 n. 179 ad art. 34 LAT ; Stéphane GRODECKI/Romain JORDAN, op. cit., p. 196 n. 744 ; Laurent PFEIFFER, op. cit., p. 93 ; ATA/66/2020 du 21 janvier 2020 consid. 2b). Le critère de la distance n’est pas le seul déterminant car la question de savoir si le voisin est directement atteint nécessite une appréciation de l’ensemble des circonstances pertinentes (arrêt du Tribunal fédéral du 8 avril 1997 publié in RDAF 1997 I p. 242 consid. 3a). S’il est certain ou très vraisemblable que l’installation litigieuse serait à l’origine d’immissions – bruit, poussières,</w:t>
      </w:r>
    </w:p>
    <w:p>
      <w:r>
        <w:t>- 8/16 - A/396/2021 vibrations, lumières ou autres – touchant spécialement les voisins, même situés à quelque distance, ces derniers peuvent avoir qualité pour recourir (ATF 140 II 214 consid. 2.3 ; arrêt du Tribunal fédéral 1C_471/2020 du 19 mai 2021 consid. 1.1 ; ATA/454/2021 précité consid. 2c).</w:t>
      </w:r>
    </w:p>
    <w:p>
      <w:r>
        <w:rPr>
          <w:b/>
        </w:rPr>
        <w:t>E. 1.4</w:t>
      </w:r>
    </w:p>
    <w:p>
      <w:r>
        <w:t>En l'espèce, les recourantes sont propriétaires de la parcelle adjacente à celle concernée par le projet litigieux. Dans leurs écritures, elles font valoir que le projet de construction querellé entraînerait des dommages durables sur leur arbre. Dès lors et contrairement à ce que prétend l'intimée, leur intérêt ne consiste pas seulement à se prémunir de nuisances durant la phase de chantier. Elles disposent ainsi d'un intérêt personnel et digne de protection à l'annulation du jugement et de l'autorisation de construire attaqués, de sorte que leur qualité pour recourir sera admise.</w:t>
      </w:r>
    </w:p>
    <w:p>
      <w:r>
        <w:rPr>
          <w:b/>
        </w:rPr>
        <w:t>E. 2</w:t>
      </w:r>
    </w:p>
    <w:p>
      <w:r>
        <w:t>L'intimée et l'autorité intimée font valoir que le recours serait irrecevable, dans la mesure où les recourantes n'auraient conclu ni à l'annulation du jugement du TAPI attaqué ni à celle de l'autorisation de construire querellée. Elles se prévalent également de l'irrecevabilité des conclusions – nouvelles – prises par les recourantes devant la chambre administrative, dans la mesure où elles seraient différentes de celles prises devant le TAPI.</w:t>
      </w:r>
    </w:p>
    <w:p>
      <w:r>
        <w:rPr>
          <w:b/>
        </w:rPr>
        <w:t>E. 2.1</w:t>
      </w:r>
    </w:p>
    <w:p>
      <w:r>
        <w:t>L'acte de recours contient, sous peine d'irrecevabilité, la désignation de la décision attaquée et les conclusions du recourant (art. 65 al. 1 LPA). L'acte de recours contient également l'exposé des motifs ainsi que l'indication des moyens de preuve (art. 65 al. 2 1ère phr. LPA).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(ATA/20/2022 du 11 janvier 2022 consid. 2c et les références citées). L’exigence de la motivation est considérée comme remplie lorsque les motifs du recours, sans énoncer les conclusions formelles, permettent de comprendre aisément ce que le recourant désire (arrêt du Tribunal fédéral 2C_823/2017 du 23 mars 2018 consid. 4 ; ATA/20/2022 du 11 janvier 2022 consid. 2b et l'arrêt cité).</w:t>
      </w:r>
    </w:p>
    <w:p>
      <w:r>
        <w:rPr>
          <w:b/>
        </w:rPr>
        <w:t>E. 2.2</w:t>
      </w:r>
    </w:p>
    <w:p>
      <w:r>
        <w:t>La juridiction administrative applique le droit d'office et ne peut aller au-delà des conclusions des parties, sans pour autant être liée par les motifs invoqués (art. 69 al. 1 LPA).</w:t>
      </w:r>
    </w:p>
    <w:p>
      <w:r>
        <w:t>- 9/16 - A/396/2021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(ATA/20/2022 du 11 janvier 2022 consid. 2b et les arrêts cités).</w:t>
      </w:r>
    </w:p>
    <w:p>
      <w:r>
        <w:rPr>
          <w:b/>
        </w:rPr>
        <w:t>E. 2.3</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145 I 201 consid. 4.2.1 ; arrêts du Tribunal fédéral 4D_30/2020 du 1er octobre 2020 consid. 4.1.1 ; 1C_673/2019 du</w:t>
      </w:r>
    </w:p>
    <w:p>
      <w:r>
        <w:rPr>
          <w:b/>
        </w:rPr>
        <w:t>E. 2.4</w:t>
      </w:r>
    </w:p>
    <w:p>
      <w:r>
        <w:t>Sauf exception prévue par la loi, le recourant peut invoquer des motifs, des faits et des moyens de preuves nouveaux qui ne l’ont pas été dans les précédentes procédures (art. 68 LPA).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ATA/29/2023 du 17 janvier 2023 consid. 4b et l'arrêt cité). N'est donc pas nouveau un chef de conclusions n'allant pas, dans son résultat, au-delà de ce qui a été sollicité auparavant ou ne demandant pas autre chose (arrêts du</w:t>
      </w:r>
    </w:p>
    <w:p>
      <w:r>
        <w:t>- 10/16 - A/396/2021 Tribunal fédéral 2C_77/2013 du 6 mai 2013 consid. 1.3 ; 8C_811/2012 du 4 mars 2013 consid. 4 ; ATA/29/2023 du 17 janvier 2023 consid. 4b et l'arrêt cité).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(ATA/29/2023 du 17 janvier 2023 consid. 4b et l'arrêt cité).</w:t>
      </w:r>
    </w:p>
    <w:p>
      <w:r>
        <w:rPr>
          <w:b/>
        </w:rPr>
        <w:t>E. 2.5</w:t>
      </w:r>
    </w:p>
    <w:p>
      <w:r>
        <w:t>En l'espèce, même si les recourantes n'ont certes pas conclu explicitement à l'annulation du jugement attaqué et de l'autorisation de construire querellée, elles ont manifesté leur désaccord, dans deux écritures argumentées de seize et quinze pages, sur la solution retenue par le TAPI s'agissant de la protection de leur arbre. On comprend dès lors qu'elles demandent l'annulation du jugement précité. Le recours sera donc déclaré recevable. Retenir le contraire serait faire preuve de formalisme excessif, lequel est prohibé par l’art. 29 al. 1 Cst. En revanche, les conclusions prises par les recourantes devant la chambre administrative ne l'ont pas été devant le TAPI, lequel ne s'est ainsi pas prononcé à leur sujet. De plus, et quand bien même ces conclusions résulteraient des faits nouveaux intervenus pendant la procédure de première instance, elles sortent du cadre des questions traitées durant cette procédure. Ces conclusions seront donc déclarées irrecevables. 3. Dans un grief d’ordre formel qu’il convient d’examiner avant les griefs au fond (ATF 141 V 495 consid. 2.2 et les arrêts cités), les recourantes se plaignent implicitement d’une violation de leur droit d’être entendues, dans la mesure où le TAPI n'aurait pas donné suite à leur demande de transport sur place, demande qu’elles réitèrent, implicitement également, devant la chambre de céans. 3.1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arrêts du Tribunal fédéral 1C_157/2021 du 7 juillet 2021 consid. 3.1 ; 1C_638/2020 du 17 juin 2021 consid. 2.1 et les références citées).</w:t>
      </w:r>
    </w:p>
    <w:p>
      <w:r>
        <w:t>- 11/16 - A/396/2021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arrêts du Tribunal fédéral 1C_576/2020 du 1er avril 2021 consid. 3.1 ; 2C_41/2020 du 24 juin 2020 consid. 5.1.1 ; ATA/444/2023 du 26 avril 2023 consid. 2.1). 3.2 La procédure administrative est en principe écrite ; toutefois, si le règlement et la nature de l'affaire le requièrent, l'autorité peut procéder oralement (art. 18 LPA).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Afin de constater un fait par elle-même, l’autorité peut notamment ordonner le transport sur place (art. 37 let. c LPA). 3.3 En l'espèce, à l’instar du TAPI, la chambre de céans considère que le dossier est complet et en état d’être jugé. Ce dernier contient le dossier de l'autorité intimée, dont de nombreux plans, ainsi que des photos apportées par les recourantes elles-mêmes, qui permettent de visualiser parfaitement les lieux, y compris l'actuelle voie d'accès à la future construction. La tenue d'un transport sur place n’est donc ni utile, ni nécessaire à la solution du litige, comme cela ressort des considérants qui suivent. Il ne sera ainsi pas donné suite à la demande d’acte d’instruction des recourantes. Pour les mêmes motifs, le grief d’une prétendue violation de leur droit d’être entendues par le TAPI sera écarté. 4. Les recourantes se plaignent en substance et implicitement d'une violation des art. 1, 14 et 16 du règlement sur la conservation de la végétation arborée du 27 octobre 1999 (RCVA - L 4 05.04). 4.1 En vertu de l'art. 61 al. 1 LPA, le recours peut être formé pour violation du droit y compris l'excès et l'abus du pouvoir d'appréciation (let. a), ou pour constatation inexacte ou incomplète des faits pertinents (let. b) ; les juridictions</w:t>
      </w:r>
    </w:p>
    <w:p>
      <w:r>
        <w:t>- 12/16 - A/396/2021 administratives n'ont pas compétence pour apprécier l'opportunité de la décision attaquée, sauf exception prévue par la loi (al. 2). 4.2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L'opportunité a trait au choix entre plusieurs solutions offertes à l'autorité compétente, toutes valables juridiquement. Une erreur relative à l'opportunité d'une décision est donc de type politique : la décision est conforme au droit, mais ce n'est pas la plus habile, la plus intelligente ou la plus utile (Thierry TANQUEREL, Manuel de droit administratif, 2e édition, 2018, p. 316 n. 892). 4.3 Comme déjà évoqué, en matière administrative, les faits doivent en principe être établis d’office (art. 19 LPA)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 pour les faits constitutifs d’un droit, le fardeau de la preuve incombe à celui qui entend se prévaloir de ce droit (ATF 112 Ib 65 consid. 3 ; arrêt du Tribunal fédéral 1C_170/2011 du 18 août 2011 consid. 3.2 ; ATA/278/2021 du 2 mars 2021 consid. 6 ; Thierry TANQUEREL, Manuel de droit administratif, 2e édition, 2018, p. 528 n. 1563 ; Pierre MOOR/Étienne POLTIER, Droit administratif, vol. 2, 3e éd., 2011, p. 296 ss n. 2.2.6.4). 4.4 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 4.5 L’art. 3 al. 3 LCI prévoit notamment que les demandes d’autorisation sont soumises, à titre consultatif, au préavis des communes, des départements et des organismes intéressés. Dans le système de la LCI, les avis ou préavis des communes, des départements et organismes intéressés ne lient pas les autorités et n’ont qu’un caractère consultatif,</w:t>
      </w:r>
    </w:p>
    <w:p>
      <w:r>
        <w:t>- 13/16 - A/396/2021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 Selon une jurisprudence bien établie, chaque fois que l'autorité administrative suit les préavis des instances consultatives, l'autorité de recours observe une certaine retenue, fonction de son aptitude à trancher le litige (ATA/422/2023 du 25 avril 2023 consid. 5.3 et les références citées). 4.6 La loi sur la protection des monuments, de la nature et des sites du 4 juin 1976 (LPMNS - L 4 05) a notamment pour but d'assurer la sauvegarde de la nature, en ménageant l'espace vital nécessaire à la flore et à la faune et en maintenant les milieux naturels (art. 1 let. c). À teneur de l'art. 36 al. 1 LPMNS, le Conseil d'État édicte les dispositions nécessaires à la protection, la conservation et l'aménagement des sites visés à l'art. 35 LPMNS. En application de cette disposition, le Conseil d'État a adopté le RCVA,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 Il ressort de l'art. 14 RCVA que les propriétaires, mandataires, requérants, constructeurs ou autres usagers de terrains sont tenus de veiller avec la plus grande attention à la préservation des arbres, haies vives et boqueteaux existants (al. 1). Selon l'al. 2, il leur incombe : de traiter les arbres malades ou dépérissants (let. a) ; de prendre, notamment lors de travaux, toutes précautions utiles pour assurer la survie des arbres, haies vives et boqueteaux, en se conformant aux directives édictées par le département (let. b) ; d'appliquer les mesures arrêtées par le département destinées à prévenir et réparer les dégâts causés par des organismes nuisibles particulièrement dangereux (let. c). L’art. 16 RCVA prévoit que le département édicte des directives en matière de sauvegarde des végétaux maintenus, de leur mise en valeur et de l’exécution correcte des mesures compensatoires. C’est dans ce cadre qu’a été élaborée par la direction générale de la nature et du paysage (DGNP) la Directive concernant les mesures à prendre lors de travaux à proximité des arbres (version 1.0, août 2008), laquelle a pour objectif de définir la</w:t>
      </w:r>
    </w:p>
    <w:p>
      <w:r>
        <w:t>- 14/16 - A/396/2021 notion d'espace vital d'un arbre et de préciser les mesures qui doivent être prises lors de travaux pour respecter la végétation conservée (art. 1). Le domaine vital de l'arbre correspond à la zone d’extension des racines vitales de l’arbre. Il correspond à l’espace aérien et souterrain à protéger défini par la projection au sol de la couronne plus 1 mètre (cf. figure 1a). Pour les arbres fastigiés cet espace protégé est défini par la projection au sol d’un tiers de la hauteur de l’arbre plus 1 m selon le même principe. Par principe, aucune construction ne sera tolérée dans le domaine vital de l'arbre (art. 2). Une dérogation à ce principe n’est accordée qu’en cas d’impératif majeur, en fonction de l’arbre et du type de construction projetée, et elle est toujours accompagnée de mesures propres à limiter l’impact de l’intervention (dalle suspendue par exemple ; art. 2). Le plan et la description des mesures prescrites font partie intégrante des autorisations de construire, d’abattage et d’élagage délivrées pour la réalisation projetée. Ces documents devront être élaborés en collaboration avec un arboriste-conseil. Ce dernier devra suivre les mesures d'accompagnement validées par le service et sera responsable de la qualité d'exécution des travaux (ch. 2). 4.7 En l'espèce, le litige porte uniquement sur la question de savoir si l'autorité intimée a fait un usage correct ou non de son pouvoir d'appréciation en délivrant l'autorisation querellée sur la base notamment du préavis favorable de l'OCAN. Le fait que les recourantes se prévalent de l'existence d'un accès au chantier et à la future parcelle par le chemin K______ ne saurait étendre l'objet du litige, dans la mesure où les juridictions administratives n'ont pas compétence pour apprécier l'opportunité de la décision attaquée, sauf exception prévue par la loi non réalisée en l'occurrence. Il s'agit donc uniquement de déterminer si les mesures prises par l'intimée et celles ordonnées par l'OCAN sont aptes à protéger l'arbre litigieux. Si l'OCAN, après avoir analysé à plusieurs reprises le projet, a non seulement exigé la prise de toutes les précautions nécessaires afin de protéger les arbres maintenus à proximité des travaux et exigé qu'un arboriste-conseil soit mandaté à l'ouverture du chantier pour le suivi des travaux à proximité des arbres conservés et la mise en place des mesures prophylactiques nécessaires à leur préservation valable, il a également mentionné que le PAP déposé par l'intimée devrait être respecté. Ce dernier prévoit l'installation d'une protection racinaire avec dalle suspendue sur le chemin d'accès à la future construction à l'endroit où se trouve le domaine vital du bouleau et aucun élément du dossier ne laisse penser que cette mesure ne serait pas apte à le protéger. Les recourantes ignorent ces mesures de protection dans leur argumentation et se bornent à soutenir qu'il existerait des solutions plus à même de protéger leur arbre, qu'elles souhaiteraient</w:t>
      </w:r>
    </w:p>
    <w:p>
      <w:r>
        <w:t>- 15/16 - A/396/2021 unilatéralement faire exécuter, sans toutefois prétendre que les mesures imposées par l'OCAN et celles prises par l'intimée ne seraient pas aptes à préserver le domaine vital du bouleau. Si elles allèguent certes que l'arboriste-conseil auquel elles ont fait appel aurait relevé que le système racinaire serait endommagé à chaque passage d'engin, que le passage répété de véhicules de chantier endommagerait les racines de l'arbre litigieux et que les branches basses du bouleau ne pourraient pas être attachées, elles ne démontrent non seulement pas ces affirmations, malgré les nombreuses pièces qu'elles ont produites, mais ne prétendent pas non plus que l'arboriste-conseil, en sa qualité de spécialiste, aurait estimé que les mesures imposées par l'OCAN seraient insuffisantes pour protéger le bouleau. Enfin, et contrairement à ce qu'elles prétendent, le fait que le PAP définitif ne comporte aucune modification sur le tracé du chemin d'accès n'est absolument pas déterminant, vu les mesures de protections prévues par ce plan. Au vu de ce qui précède, l’autorité intimée n'a pas abusé de son pouvoir d’appréciation en se fondant notamment sur le préavis favorable de l'OCAN pour délivrer l’autorisation de construire querellée. Le grief sera ainsi écarté et le recours, mal fondé, sera rejeté. 5. Vu l'issue du litige, un émolument de CHF 1'500.- sera mis à la charge solidaire des recourantes (art. 87 al. 1 LPA). Une indemnité de procédure de CHF 1'500.- sera allouée à H______, qui y a conclu, à la charge solidaire des recourantes (art. 87 al. 2 LPA).</w:t>
      </w:r>
    </w:p>
    <w:p>
      <w:r>
        <w:t>* * * * *</w:t>
      </w:r>
    </w:p>
    <w:p>
      <w:r>
        <w:rPr>
          <w:b/>
        </w:rPr>
        <w:t>E. 6</w:t>
      </w:r>
    </w:p>
    <w:p>
      <w:r>
        <w:t>avril 2020 consid. 3.3 ; Jacques DUBEY, Droits fondamentaux, vol. 2, 2018, p. 806 n. 4046 ss ; Jacques DUBEY/Jean-Baptiste ZUFFEREY, Droit administratif général, 2014, p. 702 n. 2010). L'excès de formalisme peut résider soit dans la règle de comportement imposée au justiciable, soit dans la sanction qui lui est attachée (ATF 132 I 249 consid. 5 ; 130 V 177 consid. 5.4.1 ; arrêt du Tribunal fédéral 2C_382/2015 du 21 mai 2015 consid. 5.1 ; ATA/452/2020 du 7 mai 2020). Ainsi en va-t-il lorsque la violation d’une règle de forme de peu d’importance entraîne une sanction grave et disproportionnée, telle par exemple une décision d’irrecevabilité (ATF 133 V 402 consid. 3.3 ; arrêt du Tribunal fédéral 2C_824/2014 du 22 mai 2015 consid. 5.3 ; Pierre MOOR/Étienne POLTIER, Droit administratif, vol. 2, 3e éd., 2011, p. 261 n. 2.2.4.6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