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ATA/633/2017 vom 6. Juni 2017</w:t>
      </w:r>
    </w:p>
    <w:p>
      <w:r>
        <w:t>GE Cour de justice, 2017-06-06, FR</w:t>
      </w:r>
    </w:p>
    <w:p>
      <w:r>
        <w:rPr>
          <w:b/>
        </w:rPr>
        <w:t xml:space="preserve">Quelle: </w:t>
      </w:r>
      <w:r>
        <w:t>https://mcp.opencaselaw.ch/entscheid/ge_gerichte_ATA_633_2017</w:t>
      </w:r>
    </w:p>
    <w:p>
      <w:r>
        <w:t>FR: GE_GERICHTE ATA/633/2017 du 6 juin 2017</w:t>
      </w:r>
    </w:p>
    <w:p>
      <w:r>
        <w:t>IT: GE_GERICHTE ATA/633/2017 del 6 giugno 2017</w:t>
      </w:r>
    </w:p>
    <w:p>
      <w:pPr>
        <w:pStyle w:val="Heading2"/>
      </w:pPr>
      <w:r>
        <w:t>Erwägungen</w:t>
      </w:r>
    </w:p>
    <w:p>
      <w:r>
        <w:rPr>
          <w:b/>
        </w:rPr>
        <w:t>E. 4</w:t>
      </w:r>
    </w:p>
    <w:p>
      <w:r>
        <w:t>avril 2017 consid. 11 ; ATA/672/2016 du 8 août 2016 consid. 4).</w:t>
      </w:r>
    </w:p>
    <w:p>
      <w:r>
        <w:t>b. En l’espèce, ni la LDAl, ni la LaLDAl et son règlement ne prévoient ce type de communication. Elle n’était dès lors pas admise.</w:t>
      </w:r>
    </w:p>
    <w:p>
      <w:r>
        <w:t>Il découle de ce qui précède que, même si l'on peut admettre que, dans un souci d'efficacité et de réponse aux attentes des administrés qui s'adressent à lui par ce moyen, le SCAV peut utiliser la voie électronique, en particulier le courrier électronique simple, pour répondre aux questions qui lui sont posées et donner des renseignements, il ne saurait valablement prendre et notifier des décisions par cette voie, devant au contraire utiliser la forme écrite pour ce faire.</w:t>
      </w:r>
    </w:p>
    <w:p>
      <w:r>
        <w:t>Il l’a d’ailleurs fait en adressant sa décision par courrier recommandé le</w:t>
      </w:r>
    </w:p>
    <w:p>
      <w:r>
        <w:rPr>
          <w:b/>
        </w:rPr>
        <w:t>E. 9</w:t>
      </w:r>
    </w:p>
    <w:p>
      <w:r>
        <w:t>décembre 2016, décision valablement notifiée le 13 décembre 2016.</w:t>
      </w:r>
    </w:p>
    <w:p>
      <w:r>
        <w:t>En conséquence, l’opposition formée le 19 décembre 2016 a été formée dans les délais et était dès lors recevable. 5) a. L’intimé allègue que la recourante était au courant de la décision oralement le 9 décembre 2016, puis par transmission de la décision par courriel, ce qu’elle a confirmé en accusant réception le 9 décembre de dite décision. Soutenir que celle-ci n’aurait pas été notifiée le 9 décembre, alors que la recourante avait connaissance de l’entier du contenu de la décision, violerait le principe de la bonne foi.</w:t>
      </w:r>
    </w:p>
    <w:p>
      <w:r>
        <w:t>b.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 ATA/573/2015 du 2 juin 2015 ; Thierry TANQUEREL, Manuel de droit administratif, 2011, p. 193 n. 568).</w:t>
      </w:r>
    </w:p>
    <w:p>
      <w:r>
        <w:t>c. En l’espèce, compte tenu des développements qui précèdent, notamment des exigences légales de l’art. 18A LPA, cet argument est infondé. 6) a. En procédure juridictionnelle administrative, ne peuvent être examinés et jugés que les rapports juridiques à propos desquels l’autorité administrative compétente s’est prononcée préalablement d’une manière qui la lie sous la forme d’une décision (décision confirmée par décision sur opposition). Dans cette</w:t>
      </w:r>
    </w:p>
    <w:p>
      <w:r>
        <w:t>- 6/7 - A/1373/2017 mesure, la décision détermine l’objet de la contestation qui peut être déféré en justice par voie de recours. En revanche, dans la mesure où aucune décision n’a été rendue, la contestation n’a pas d’objet, et un jugement sur le fond ne peut pas être prononcé. C’est pourquoi, il n’est pas entré en matière sur des conclusions qui vont au-delà de l’objet de la contestation.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 et d’enfreindre le principe de l’épuisement des voies de droit préalables et, en définitive, de priver les parties d’un degré de juridiction (ATA/464/2017 du 25 avril 2017 ; ATA/18/2013 du 8 janvier 2013 et les arrêts cités).</w:t>
      </w:r>
    </w:p>
    <w:p>
      <w:r>
        <w:t>b. En l’espèce, la recourante prend des conclusions au fond en annulation de la décision du 9 décembre 2016 qui vont au-delà de l’objet du litige, limité à la seule recevabilité de l’opposition du 19 décembre 2016. Ces conclusions sont irrecevables.</w:t>
      </w:r>
    </w:p>
    <w:p>
      <w:r>
        <w:t>Le recours sera en conséquence admis en tant qu’il est recevable, la chambre administrative ne pouvant statuer sur le fond du litige, sauf à priver la recourante d’un degré de juridiction.</w:t>
      </w:r>
    </w:p>
    <w:p>
      <w:r>
        <w:t>Le dossier sera retourné au SCAV pour nouvelle décision, y compris sur les mesures provisionnelles sollicitées dans l’opposition du 19 décembre 2016. 7)</w:t>
      </w:r>
    </w:p>
    <w:p>
      <w:r>
        <w:t>Le présent arrêt rend sans objet la demande de mesures provisionnelles faite devant la chambre administrative le 18 avril 2017. 8)</w:t>
      </w:r>
    </w:p>
    <w:p>
      <w:r>
        <w:t>Aucun émolument de procédure ne sera perçu (art. 87 al. 1 LPA). Une indemnité de procédure de CHF 1'000.- sera allouée à la recourante, qui a pris des conclusions dans ce sens, à la charge de l'État de Genève (art. 87 al. 2 LPA).</w:t>
      </w:r>
    </w:p>
    <w:p>
      <w:r>
        <w:t>*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