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ATA/632/2022 vom 14. Juni 2022</w:t>
      </w:r>
    </w:p>
    <w:p>
      <w:r>
        <w:t>GE Cour de justice, 2022-06-14, FR</w:t>
      </w:r>
    </w:p>
    <w:p>
      <w:r>
        <w:rPr>
          <w:b/>
        </w:rPr>
        <w:t xml:space="preserve">Quelle: </w:t>
      </w:r>
      <w:r>
        <w:t>https://mcp.opencaselaw.ch/entscheid/ge_gerichte_ATA_632_2022</w:t>
      </w:r>
    </w:p>
    <w:p>
      <w:r>
        <w:t>FR: GE_GERICHTE ATA/632/2022 du 14 juin 2022</w:t>
      </w:r>
    </w:p>
    <w:p>
      <w:r>
        <w:t>IT: GE_GERICHTE ATA/632/2022 del 14 giugno 2022</w:t>
      </w:r>
    </w:p>
    <w:p>
      <w:pPr>
        <w:pStyle w:val="Heading2"/>
      </w:pPr>
      <w:r>
        <w:t>Erwägungen</w:t>
      </w:r>
    </w:p>
    <w:p>
      <w:r>
        <w:rPr>
          <w:b/>
        </w:rPr>
        <w:t>E. 12</w:t>
      </w:r>
    </w:p>
    <w:p>
      <w:r>
        <w:t>septembre 1985 - LPA - E 5 10). 2)</w:t>
      </w:r>
    </w:p>
    <w:p>
      <w:r>
        <w:t>Seule demeure litigieuse la date à partir de laquelle des intérêts compensatoires négatifs en lien avec la dénonciation spontanée des recourants peuvent être perçus.</w:t>
      </w:r>
    </w:p>
    <w:p>
      <w:r>
        <w:t>a. Selon l’art. 560 al. 1 du Code civil suisse du 10 décembre 1907 (CC - RS 210), les héritiers acquièrent de plein droit l’universalité de la succession dès que celle-ci est ouverte. La succession s’ouvre par la mort (art. 537 al. 1 CC) au dernier domicile du défunt, pour l’ensemble des biens (art. 538 al. 1 CC). S’il y a plusieurs héritiers, tous les droits et obligations compris dans la succession restent indivis jusqu’au partage (art. 602 al. 1 CC). Les héritiers sont propriétaires et disposent en commun des biens qui dépendent de la succession (art. 602 al. 2 CC).</w:t>
      </w:r>
    </w:p>
    <w:p>
      <w:r>
        <w:t>b. Aux termes de l’art. 64 al. 4 LIPP, la fortune dévolue par succession à un contribuable au cours de la période fiscale n’est imposable qu’à partir de la date de la dévolution. Le contribuable doit également déclarer les revenus qui en découlent depuis cette date et s’acquitter de l’impôt y relatif (Yves NÖEL, in Yves NOËL/Florence AUBRY GIRARDIN [éd.], Commentaire romand, Impôt fédéral direct, 2017, ad art. 24 LIFD p. 591 et les références).</w:t>
      </w:r>
    </w:p>
    <w:p>
      <w:r>
        <w:t>c. En droit cantonal,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w:t>
      </w:r>
    </w:p>
    <w:p>
      <w:r>
        <w:t>- 9/13 - A/1141/2021</w:t>
      </w:r>
    </w:p>
    <w:p>
      <w:r>
        <w:t>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Le contribuable peut requérir auprès du département une modification ou une suppression de ses acomptes figurant sur la facture d'acomptes, au moyen de la formule officielle (art. 5 al. 3 LPGIP).</w:t>
      </w:r>
    </w:p>
    <w:p>
      <w:r>
        <w:t>Aux termes de l'art. 12 LPGIP, les impôts périodiques des personnes physiques sont échus le 31 mars de l'année civile qui suit l'année fiscale (al. 1), le terme général d'échéance étant maintenu si le contribuable n'a reçu, à cette date, aucune décision de taxation (al. 3). Selon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RPGIP).</w:t>
      </w:r>
    </w:p>
    <w:p>
      <w:r>
        <w:t>Le solde indiqué dans le décompte final est échu à la date de notification du décompte et doit être payé ou remboursé dans un délai de trente jours dès l'échéance (art. 18 al. 1 et 2 LPGIP). Le solde du décompte final, en faveur de l'État, porte intérêt moratoire, s'il n'est pas payé à l'expiration du délai prévu à l'art. 18 al. 2 LPGIP jusqu'à la date du paiement (art. 20 LPGIP).</w:t>
      </w:r>
    </w:p>
    <w:p>
      <w:r>
        <w:t>d. Le Tribunal fédéral a observé que, sous les anciennes dispositions de la loi sur les contributions publiques du 9 novembre 1887 (LCP - D 3 05), le législateur genevois avait instauré deux types d'intérêts à charge du contribuable : les intérêts moratoires et les intérêts financiers. La nouvelle LPGIP distingue toujours les premiers (art. 9 et 20 LPGIP) des seconds, appelés désormais « intérêts compensatoires négatifs » (art. 14 LPGIP). Les intérêts moratoires sont dus lorsque le contribuable n'a pas acquitté une créance à l'expiration d'un certain délai (art. 364 aLCP) et les intérêts financiers le sont lorsque le total des acomptes provisionnels payés par le contribuable est inférieur au montant de l'impôt total (art. 361 al. 4 aLPC et art. 3 du règlement transitoire genevois du 28 novembre 2001 relatif à la perception des acomptes provisionnels, en vigueur jusqu'au 31</w:t>
      </w:r>
    </w:p>
    <w:p>
      <w:r>
        <w:t>- 10/13 - A/1141/2021 décembre 2008 - aRTAP). Ils sont donc mis à la charge du contribuable indépendamment de tout retard dans un paiement (arrêt du Tribunal fédéral 2C_520/2011 du 8 mai 2012 consid. 3.4).</w:t>
      </w:r>
    </w:p>
    <w:p>
      <w:r>
        <w:t>Avec l'introduction du système postnumerando, il fallait en effet rétablir un déséquilibre financier dès lors que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financiers, que l'on appelle désormais intérêts compensatoires négatifs, sont destinés à réduire les pertes induites par le système (arrêts du Tribunal fédéral 2C_939/2011 du 7 août 2012 consid. 6 ; JTAPI/1387/2012 du 12 novembre 2012). Le Tribunal fédéral relève en outre qu'il « appartient aux contribuables d'estimer le montant de leurs impôts afin, le cas échéant, de payer un éventuel solde si celui-ci devait s'avérer supérieur aux acomptes provisionnels et d'éviter des intérêts financiers » (arrêt du Tribunal fédéral 2C_520/2011 précité consid. 3.4).</w:t>
      </w:r>
    </w:p>
    <w:p>
      <w:r>
        <w:t>e. Suivant en cela le Tribunal fédéral, la chambre administrative a déjà jugé qu’il appartient au contribuable d’estimer correctement le montant de ses impôts, le cas échéant en se renseignant auprès de l’AFC, et de faire les avances suffisantes de manière à éviter des intérêts compensatoires négatifs, indépendamment de la date de notification des bordereaux de taxation (ATA/1520/2017 du 21 novembre 2017 consid. 6). Il est ainsi de la seule responsabilité du contribuable de s’assurer que l’AFC dispose d’un montant suffisant pour couvrir sa charge fiscale pour chaque année fiscale. Comme le relève le Tribunal fédéral, le contribuable bénéficie d’un délai de trois mois, correspondant au délai pour remplir la déclaration d’impôts, pour estimer au plus près sa charge fiscale de l’année précédente et effectuer, le cas échéant, un versement complémentaire avant que ne démarre le calcul des intérêts compensatoires négatifs, précisant que ce système d’intérêts a, notamment, pour but d’assurer une égalité de traitement entre les contribuables qui, après la période fiscale, se voient notifier rapidement leur décision de taxation et ceux pour lesquels cette décision n’arrive que plus tard (arrêt du Tribunal fédéral 2C_520/2011 du 8 mai 2012 consid. 3.4). 3)</w:t>
      </w:r>
    </w:p>
    <w:p>
      <w:r>
        <w:t>En l’espèce, il faut convenir avec le recourant que les procédures civiles conduites en vue de déterminer les autorités compétentes pour se prononcer sur la liquidation de la succession de son père ainsi que le droit applicable à celle-ci ont été longues. Cela étant, le 8 juin 2010, la chambre civile a annulé l’ordonnance du Juge de paix se déclarant incompétent pour connaître de la succession et lui a renvoyé la cause pour instruction complémentaire et nouvelle décision, notamment afin d’examiner si le défunt était domicilié en Tunisie, question déterminante pour savoir si les décisions tunisiennes seraient reconnues en Suisse. À partir de cette date, le recourant, même si une incertitude quant à l’issue de la</w:t>
      </w:r>
    </w:p>
    <w:p>
      <w:r>
        <w:t>- 11/13 - A/1141/2021 procédure demeurait, pouvait et devait raisonnablement compter avec le fait que la succession soit régie par le droit suisse et qu’ainsi une part dans celle-ci lui soit dévolue.</w:t>
      </w:r>
    </w:p>
    <w:p>
      <w:r>
        <w:t>Certes, les procédures civiles ont ensuite connu encore des rebondissements, le TPI reconnaissant le 5 octobre 2010 le jugement tunisien, qui se déclarait compétent pour connaître de la succession. Ce jugement du TPI a cependant fait l’objet, les 21 juin 2011 et 7 juillet 2011, d’actions visant à en obtenir son annulation, une partie des héritiers n’ayant pas été assignés à la procédure y ayant conduit. Ainsi, compte tenu de la gravité du vice affectant le jugement d’exequatur du TPI du 5 octobre 2010, susceptible d’entraîner, avec un degré de vraisemblance élevé, son annulation, voire le constat de sa nullité, et du fait que la cause était encore pendante devant la Justice de paix en vue d’établir le dernier domicile du défunt, le recourant pouvait raisonnablement s’attendre à ce que le droit suisse s’applique à la succession et ainsi que sa part dévolue dans celle-ci soit fixée selon le droit suisse. Le TAPI a retenu, sans être critiqué sur ce point, que la déclaration fiscale 2003 relative à la succession faisait état de la valeur de celle-ci. Le recourant était, partant, en mesure dans sa déclaration fiscale de 2011 ainsi que dans celles des années suivantes, d’estimer sa part successorale. S’il avait un doute à ce sujet, il aurait pu s’enquérir auprès de l’AFC-GE de la question de savoir si et dans quelle mesure il devait augmenter le montant des acomptes à verser.</w:t>
      </w:r>
    </w:p>
    <w:p>
      <w:r>
        <w:t>Au vu de ce qui précède, l’autorité intimée n’a pas violé le droit ni commis d’abus de son pouvoir d’appréciation en retenant que les intérêts compensatoires négatifs étaient dus pour les périodes fiscales 2011 à 2015.</w:t>
      </w:r>
    </w:p>
    <w:p>
      <w:r>
        <w:t>Mal fondé, le recours sera rejeté. 4)</w:t>
      </w:r>
    </w:p>
    <w:p>
      <w:r>
        <w:t>Vu l’issue du litige, un émolument de CHF 1'500.-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