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ATA/632/2016 vom 22. Juli 2016</w:t>
      </w:r>
    </w:p>
    <w:p>
      <w:r>
        <w:t>GE Cour de justice, 2016-07-22, FR</w:t>
      </w:r>
    </w:p>
    <w:p>
      <w:r>
        <w:rPr>
          <w:b/>
        </w:rPr>
        <w:t xml:space="preserve">Quelle: </w:t>
      </w:r>
      <w:r>
        <w:t>https://mcp.opencaselaw.ch/entscheid/ge_gerichte_ATA_632_2016</w:t>
      </w:r>
    </w:p>
    <w:p>
      <w:r>
        <w:t>FR: GE_GERICHTE ATA/632/2016 du 22 juillet 2016</w:t>
      </w:r>
    </w:p>
    <w:p>
      <w:r>
        <w:t>IT: GE_GERICHTE ATA/632/2016 del 22 luglio 2016</w:t>
      </w:r>
    </w:p>
    <w:p>
      <w:pPr>
        <w:pStyle w:val="Heading2"/>
      </w:pPr>
      <w:r>
        <w:t>Erwägungen</w:t>
      </w:r>
    </w:p>
    <w:p>
      <w:r>
        <w:rPr>
          <w:b/>
        </w:rPr>
        <w:t>E. 4</w:t>
      </w:r>
    </w:p>
    <w:p>
      <w:r>
        <w:t>Au vu des considérations qui précèdent, il apparaît que le maintien de l’effet suspensif au recours prime, compte tenu des intérêts publics en jeu, l’intérêt privé de la recourante à obtenir le retrait de celui-là, de sorte qu'il ne sera pas fait droit à la requête de la société. Vu les art. 66 LPA et 7 al. 1 du règlement de la chambre administrative du 21 décembre 2010 ;</w:t>
      </w:r>
    </w:p>
    <w:p>
      <w:r>
        <w:t>LA CHAMBRE ADMINISTRATIVE refuse la demande de retrait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w:t>
      </w:r>
    </w:p>
    <w:p>
      <w:r>
        <w:t>- 7/7 - A/2965/2015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la régie Zimmermann SA, mandataire d’Immolake Geneva SA, au département de l'aménagement, du logement et de l'énergie – oac ainsi qu’au Tribunal administratif de première instance.</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