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ATA/62/2020 vom 21. Januar 2020</w:t>
      </w:r>
    </w:p>
    <w:p>
      <w:r>
        <w:t>GE Cour de justice, 2020-01-21, FR</w:t>
      </w:r>
    </w:p>
    <w:p>
      <w:r>
        <w:rPr>
          <w:b/>
        </w:rPr>
        <w:t xml:space="preserve">Quelle: </w:t>
      </w:r>
      <w:r>
        <w:t>https://mcp.opencaselaw.ch/entscheid/ge_gerichte_ATA_62_2020</w:t>
      </w:r>
    </w:p>
    <w:p>
      <w:r>
        <w:t>FR: GE_GERICHTE ATA/62/2020 du 21 janvier 2020</w:t>
      </w:r>
    </w:p>
    <w:p>
      <w:r>
        <w:t>IT: GE_GERICHTE ATA/62/2020 del 21 gennaio 2020</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w:t>
      </w:r>
    </w:p>
    <w:p>
      <w:r>
        <w:t>- 5/7 - A/4350/2018 et a un intérêt personnel digne de protection à ce qu'elle soit annulée ou modifiée, sont titulaires de la qualité pour recourir (ATA/186/2019 du 26 février 2019 ; ATA/1159/2018 du 30 octobre 2018 ; ATA/661/2018 du 26 juin 2018).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(ATA/799/2018 du 7 août 2018 et l'arrêt cité ; Stéphane GRODECKI/Romain JORDAN, Code annoté de procédure administrative genevoise, 2017, p. 184 n. 698).</w:t>
      </w:r>
    </w:p>
    <w:p>
      <w:r>
        <w:t>b.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w:t>
      </w:r>
    </w:p>
    <w:p>
      <w:r>
        <w:rPr>
          <w:b/>
        </w:rPr>
        <w:t>E. 28</w:t>
      </w:r>
    </w:p>
    <w:p>
      <w:r>
        <w:t>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w:t>
      </w:r>
    </w:p>
    <w:p>
      <w:r>
        <w:t>- 6/7 - A/4350/2018</w:t>
      </w:r>
    </w:p>
    <w:p>
      <w:r>
        <w:t>c. En matière de droit des constructions, le voisin direct de la construction ou de l'installation litigieuse a en principe la qualité pour recourir (ATF 139 II 499 consid. 2.2 ; arrêt 1C_382/2017 du 16 mai 2018 consid. 1.2.1). La proximité avec l'objet du litige ne suffit néanmoins pas à elle seule à conférer au voisin la qualité pour recourir (pour un aperçu de la jurisprudence rendue à cet égard, cf. notamment arrêt 1C_2/2010 du 23 mars 2010 consid. 4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arrêt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3)</w:t>
      </w:r>
    </w:p>
    <w:p>
      <w:r>
        <w:t>En l’espèce, le recourant conteste une autorisation de démolir. Même si les travaux de démolition peuvent entraîner des nuisances en matière de bruit et de poussière, celles-ci seront limitées dans le temps et ne sauraient à elles seules fonder un intérêt pratique à recourir. L’avantage que le maintien de la villa, voire de la piscine, apporterait au recourant, n’est pas perceptible. Le recourant ne soutient pas que les bâtiments à détruire auraient une quelconque valeur patrimoniale.</w:t>
      </w:r>
    </w:p>
    <w:p>
      <w:r>
        <w:t>Les longs développements du recourant visant à construire son intérêt au recours sont fondés uniquement sur des hypothèses, voire des procès d’intention, éléments qui sont inaptes à fonder la qualité pour agir.</w:t>
      </w:r>
    </w:p>
    <w:p>
      <w:r>
        <w:t>Le recourant ne pouvant retirer un avantage pratique de la procédure, la qualité pour recourir doit lui est déniée et le recours sera déclaré irrecevable (arrêt du Tribunal fédéral 1C_27/2018 du 6 avril 2018 consid. 1.2).</w:t>
      </w:r>
    </w:p>
    <w:p>
      <w:r>
        <w:t>Au vu de cette issue, il n’est pas nécessaire d’analyser plus en avant la recevabilité des conclusions nouvelles formulées par le recourant dans son écriture de réplique. 4)</w:t>
      </w:r>
    </w:p>
    <w:p>
      <w:r>
        <w:t>Vu l'issue du litige, un émolument de CHF 1'000.- sera mis à la charge du recourant (art. 87 al. 1 LPA). Une indemnité de procédure de CHF 1'000.- sera allouée à l'intimée, à la charge du recourant (art. 87 al. 2 LPA).</w:t>
      </w:r>
    </w:p>
    <w:p>
      <w:r>
        <w:t>* * * * *</w:t>
      </w:r>
    </w:p>
    <w:p>
      <w:r>
        <w:t>- 7/7 - A/4350/2018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