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ATA/62/2018 vom 23. Januar 2018</w:t>
      </w:r>
    </w:p>
    <w:p>
      <w:r>
        <w:t>GE Cour de justice, 2018-01-23, FR</w:t>
      </w:r>
    </w:p>
    <w:p>
      <w:r>
        <w:rPr>
          <w:b/>
        </w:rPr>
        <w:t xml:space="preserve">Quelle: </w:t>
      </w:r>
      <w:r>
        <w:t>https://mcp.opencaselaw.ch/entscheid/ge_gerichte_ATA_62_2018</w:t>
      </w:r>
    </w:p>
    <w:p>
      <w:r>
        <w:t>FR: GE_GERICHTE ATA/62/2018 du 23 janvier 2018</w:t>
      </w:r>
    </w:p>
    <w:p>
      <w:r>
        <w:t>IT: GE_GERICHTE ATA/62/2018 del 23 gennaio 2018</w:t>
      </w:r>
    </w:p>
    <w:p>
      <w:pPr>
        <w:pStyle w:val="Heading2"/>
      </w:pPr>
      <w:r>
        <w:t>Erwägungen</w:t>
      </w:r>
    </w:p>
    <w:p>
      <w:r>
        <w:rPr>
          <w:b/>
        </w:rPr>
        <w:t>E. 26</w:t>
      </w:r>
    </w:p>
    <w:p>
      <w:r>
        <w:t>septembre 2010 - LOJ - E 2 05 ; art. 62 al. 1 let. a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(ATA/1218/2015 du 10 novembre 2015 ; ATA/1006/2015 du 29 septembre 2015).</w:t>
      </w:r>
    </w:p>
    <w:p>
      <w:r>
        <w:t>b. Selon la jurisprudence du Tribunal fédéral, un intérêt digne de protection suppose un intérêt actuel à obtenir l’annulation de la décision attaquée (ATF 138 II 42 consid. 1; 137 I 23 consid 1.3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Si l'intérêt actuel fait défaut lors du dépôt du recours, ce dernier est</w:t>
      </w:r>
    </w:p>
    <w:p>
      <w:r>
        <w:t>- 4/6 - A/2699/2016 déclaré irrecevable (ATF 123 II 285 consid. 4 ; 118 Ia 46 consid. 3c). S’il s’éteint pendant la procédure, le recours, devenu sans objet, doit être simplement radié du rôle (ATF 125 V 373 consid. 1 ; 118 Ia 488 consid. 1a ; 118 Ib 1 consid. 2).</w:t>
      </w:r>
    </w:p>
    <w:p>
      <w:r>
        <w:t>La condition de l’intérêt actuel fait défaut en particulier lorsque, par exemple, la décision ou la loi est révoquée ou annulée en cours d’instance (ATF 111 Ib 182 consid. 2 ; 110 Ia 140 consid. 2), la décision attaquée a été exécutée et a sorti tous ses effets (ATF 125 I 394 consid. 4 ; 120 Ia 165 consid. 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Pierre MOOR/Étienne POLTIER, op. cit., p. 748 n. 5.7.2.3). 3)</w:t>
      </w:r>
    </w:p>
    <w:p>
      <w:r>
        <w:t>Une autorisation de séjour de durée limitée peut en principe être délivrée pour permettre à un étranger de préparer en Suisse son mariage avec un citoyen suisse ou avec un étranger titulaire d’une autorisation de séjour à caractère durable ou une autorisation d’établissement (art. 30 let. b de la loi fédérale sur les étrangers du 16 décembre 2005 (LEtr - RS 142.20) ; art. 31 de l’ordonnance relative à l'admission, au séjour et à l'exercice d'une activité lucrative du 24 octobre 2007 (OASA - RS 142.201). 4)</w:t>
      </w:r>
    </w:p>
    <w:p>
      <w:r>
        <w:t>En l’espèce, compte tenu de la déclaration du fiancé du 1er novembre 2017, que la recourante n’a pas infirmée, le mariage de celle-ci n’est plus possible. La condition nécessaire à la demande de séjour n’est plus remplie. Le recours est par conséquent sans objet. La cause sera rayée du rôle.</w:t>
      </w:r>
    </w:p>
    <w:p>
      <w:r>
        <w:t>Vu l’issue du recours,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