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ATA/62/2015 vom 13. Januar 2015</w:t>
      </w:r>
    </w:p>
    <w:p>
      <w:r>
        <w:t>GE Cour de justice, 2015-01-13, FR</w:t>
      </w:r>
    </w:p>
    <w:p>
      <w:r>
        <w:rPr>
          <w:b/>
        </w:rPr>
        <w:t xml:space="preserve">Quelle: </w:t>
      </w:r>
      <w:r>
        <w:t>https://mcp.opencaselaw.ch/entscheid/ge_gerichte_ATA_62_2015</w:t>
      </w:r>
    </w:p>
    <w:p>
      <w:r>
        <w:t>FR: GE_GERICHTE ATA/62/2015 du 13 janvier 2015</w:t>
      </w:r>
    </w:p>
    <w:p>
      <w:r>
        <w:t>IT: GE_GERICHTE ATA/62/2015 del 13 gennaio 2015</w:t>
      </w:r>
    </w:p>
    <w:p>
      <w:pPr>
        <w:pStyle w:val="Heading2"/>
      </w:pPr>
      <w:r>
        <w:t>Erwägungen</w:t>
      </w:r>
    </w:p>
    <w:p>
      <w:r>
        <w:rPr>
          <w:b/>
        </w:rPr>
        <w:t>E. 12</w:t>
      </w:r>
    </w:p>
    <w:p>
      <w:r>
        <w:t>septembre 1985 - LPA - E 5 10).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(ATA/358/2014 du 16 mai 2014 consid. 5b ; ATA/297/2014 du 29 avril 2014 consid. 2b ; ATA/252/2013 du 23 avril 2013 consid. 5 ; ATA/98/2012 du 21 février 2012 consid. 4).</w:t>
      </w:r>
    </w:p>
    <w:p>
      <w:r>
        <w:t>c.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ATA/721/2013 du 29 octobre 2013 consid. 5 ; ATA/188/2011 du 22 mars 2011 consid. 4 ; ATA/146/2009 du 24 mars 2009 consid. 5). Un intérêt seulement</w:t>
      </w:r>
    </w:p>
    <w:p>
      <w:r>
        <w:t>- 6/13 - A/3391/2013 indirect à l’annulation ou à la modification de la décision attaquée n’est pas suffisant (ATF 138 V 292 consid. 4 p. 296 ; arrêt du Tribunal fédéral 1C_665/2013 du 24 mars 2014 consid. 3.1).</w:t>
      </w:r>
    </w:p>
    <w:p>
      <w:r>
        <w:t>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Ces exigences ont été posées de manière à empêcher l’action populaire (ATF 137 II 40 consid. 2.3 ; ATF 124 II 293 consid. 3b). L’intérêt digne de protection n’exige pas une atteinte à des intérêts juridiquement protégés, soit la violation d’une norme ayant pour but la protection des droits subjectifs (ATF 123 V 113 consid. 5c ; ATA/181/2013 du 19 mars 2013 consid. 5).</w:t>
      </w:r>
    </w:p>
    <w:p>
      <w:r>
        <w:t>d.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SPÜHLER/Annette DOLGE/Dominik VOCK, Kurzkommentar zum Bundesgerichtsgesetz [BGG], 2006, n. 5 ad art. 89 LTF).</w:t>
      </w:r>
    </w:p>
    <w:p>
      <w:r>
        <w:t>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ATA/721/2013 précité et les références citées) ou déclaré irrecevable (ATF 123 II 285 consid. 4 ; arrêt du Tribunal fédéral 1C_69/2007 du 11 juin 2007 consid. 2.3 ; ATA/343/2012 du 5 juin 2012 ; ATA/192/2009 du 21 avril 2009 consid. 5 ; ATA/640/2005 du 27 septembre 2005 consid. 5).</w:t>
      </w:r>
    </w:p>
    <w:p>
      <w:r>
        <w:t>La condition de l’intérêt actuel fait défaut en particulier lorsque, par exemple, la décision ou la loi est révoquée ou annulée en cours d’instance (ATF 111 Ib 182 consid. 2 ; 110 Ia 140 consid. 2 ; 104 Ia 487 consid. 2 ; ATA/579/2011 du 6 septembre 2011 consid. 5 ; ATA/124/2005 du 8 mars 2005 consid. 2).</w:t>
      </w:r>
    </w:p>
    <w:p>
      <w:r>
        <w:t>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6B_34/2009 du 20 avril 2009</w:t>
      </w:r>
    </w:p>
    <w:p>
      <w:r>
        <w:t>- 7/13 - A/3391/2013 consid. 3 ; ATA/721/2013 et ATA/188/2011 précités ; ATA/365/2009 du 28 juillet 2009 consid. 4).</w:t>
      </w:r>
    </w:p>
    <w:p>
      <w:r>
        <w:t>f. En l’espèce, le recourant a annoncé son départ définitif de la Suisse pour le 5 juillet 2014. Il a joint à cette annonce la copie de sa carte de sortie ainsi que la copie de sa réservation du vol. Cependant, la question du renouvellement de son autorisation de séjour pourrait éventuellement avoir un impact dans la mesure où il n'est pas établi que le recourant avait achevé sa formation auprès de la WEU, de sorte à ce qu'il conserve un intérêt actuel à recourir contre le refus de l’OCPM.</w:t>
      </w:r>
    </w:p>
    <w:p>
      <w:r>
        <w:t>Par ailleurs, le recourant a un intérêt actuel à recourir contre la décision de l’OCPM en tant qu’elle prononce son renvoi de Suisse, le recours étant dès lors recevable sous cet angle. 3)</w:t>
      </w:r>
    </w:p>
    <w:p>
      <w:r>
        <w:t>L’objet du litige consiste à déterminer si le TAPI était fondé à confirmer la décision prise le 26 septembre 2013 par l’OCPM refusant de délivrer l’autorisation de séjour pour études sollicitée par le recourant et prononçant son renvoi de Suisse. 4)</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5)</w:t>
      </w:r>
    </w:p>
    <w:p>
      <w:r>
        <w:t>Selon l’art. 17 al. 1 de loi fédérale sur les étrangers du 16 décembre 2005 (LEtr - RS 142.20), l'étranger entré légalement en Suisse pour un séjour temporaire qui dépose ultérieurement une demande d'autorisation de séjour durable doit attendre la décision à l'étranger. 6) a. Selon l’art. 27 LEtr, un étranger peut être autorisé à séjourner en Suisse pour y effectuer des études ou un perfectionnement aux conditions cumulatives suivantes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w:t>
      </w:r>
    </w:p>
    <w:p>
      <w:r>
        <w:t>b. S’agissant du caractère approprié du logement, le but de la norme est principalement de s'assurer que les étrangers admis en Suisse ne vivent pas dans des conditions contraires à la dignité (Martina CARONI/</w:t>
      </w:r>
    </w:p>
    <w:p>
      <w:r>
        <w:t>- 8/13 - A/3391/2013 Thomas GÄCHTER/Daniela THURNHERR [éd.], Bundesgesetz über die Ausländerinnen und Ausländer [AuG], 2010, n. 11 ad art. 44 LEtr).</w:t>
      </w:r>
    </w:p>
    <w:p>
      <w:r>
        <w:t>c. L’étranger doit prouver qu’il dispose des moyens financiers nécessaires à une formation ou à un perfectionnement, en présentant notamment la confirmation d'une banque reconnue en Suisse permettant d'attester l'existence de valeurs patrimoniales suffisantes (art. 23 al. 1 let. b de l’ordonnance relative à l’admission, au séjour et à l’exercice d’une activité lucrative du 24 octobre 2007 - OASA - RS 142.201).</w:t>
      </w:r>
    </w:p>
    <w:p>
      <w:r>
        <w:t>d.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7) a. Sous réserve de circonstances particulières, les personnes âgées de plus de 30 ans ne peuvent en principe se voir attribuer une autorisation de séjour pour se former ou se perfectionner. Les exceptions doivent être suffisamment motivées (arrêt du Tribunal administratif fédéral C-482/2006 du 27 février 2008 ; office fédéral des migrations [ci-après : ODM], Directives et commentaires, domaine des étrangers, état au 4 juillet 2014, ch. 5.1.2).</w:t>
      </w:r>
    </w:p>
    <w:p>
      <w:r>
        <w:t>b.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(ATA/269/2014 du 15 avril 2014 et les références citées).</w:t>
      </w:r>
    </w:p>
    <w:p>
      <w:r>
        <w:t>c. Tel est le cas en l’occurrence, la précision de l’âge limite ordinaire prévue par les directives de l'ODM permettant de préciser à l’attention de tous les requérants de quelle façon les autorités de police des étrangers entendent interpréter sous cet angle la condition des qualifications personnelles requises à l’art. 27 al. 1 let. d LEtr (ATA/269/2014 précité). 8)</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- 9/13 - A/3391/2013</w:t>
      </w:r>
    </w:p>
    <w:p>
      <w:r>
        <w:t>Néanmoins, cette exigence subsiste en vertu de l’art. 5 al. 2 LEtr, à teneur duquel tout étranger qui effectue un séjour temporaire en Suisse, tel un séjour pour études, doit apporter la garantie qu’il quittera la Suisse à l’échéance de celui-là (ATA/595/2014 du 29 juillet 2014 ; ATA/269/2014 précité ; ATA/103/2014 du 18 février 2014 ; ATA/718/2013 du 29 octobre 2013 ; ATA/690/2013 du 15 octobre 2013 ; ATA/97/2013 du 19 février 2013).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9)</w:t>
      </w:r>
    </w:p>
    <w:p>
      <w:r>
        <w:t>L’autorité cantonale compétente dispose d’un large pouvoir d’appréciation, l’étranger ne bénéficiant pas d’un droit de séjour en Suisse fondé sur l’art. 27 LEtr (arrêts du Tribunal fédéral 2C_802/2010 du 22 octobre 2010 consid. 2 ; 2D_14/2010 du 28 juin 2010 consid. 3 ; ATA/303/2014 du 29 avril 2014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ATA/269/2014 précité). 10)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précité consid. 7.2).</w:t>
      </w:r>
    </w:p>
    <w:p>
      <w:r>
        <w:t>Dans l'approche, la possession d'une formation complète antérieure (arrêts du Tribunal administratif fédéral C-5718/2013 précité ; C-3143/2013 du 9 avril 2014 consid. 3 ; C-2291/2013 précité), l'âge de la personne demanderesse (arrêts du Tribunal administratif fédéral C-5718/2013 précité ; C-3139/2013 précité),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w:t>
      </w:r>
    </w:p>
    <w:p>
      <w:r>
        <w:t>- 10/13 - A/3391/2013 11) a. En l’espèce, le recourant est venu en Suisse au bénéfice d’un visa de type C « visite familiale/amicale » délivré par l'ambassade de Suisse à Londres, valable pendant cinq jours. Sans attendre dans son pays d’origine l’assentiment de l’OCPM, il s’est immédiatement inscrit auprès de la WEU avant de saisir l'autorité, dans les jours qui ont suivi son arrivée, d’une demande d’autorisation de séjour pour études. Ce faisant, il n’a pas respecté les exigences de l’art. 17 al. 1 LEtr qui lui imposait, à défaut d’avoir immédiatement formé sa demande dans son pays d’origine, de retourner dans celui-ci dans l’attente de la décision. Il a ainsi mis l’autorité de police des étrangers devant le fait accompli.</w:t>
      </w:r>
    </w:p>
    <w:p>
      <w:r>
        <w:t>b. S'agissant des moyens financiers nécessaires à une formation ou à un perfectionnement, le recourant n'a pas jugé utile de reproduire le relevé de son compte postal suisse à jour dans la présente procédure, relevé qu'il avait fourni à l'OCPM datant du 29 novembre 2012, pour ainsi permettre de comprendre de quelle somme il disposait chaque mois et de quelle manière le compte était approvisionné.</w:t>
      </w:r>
    </w:p>
    <w:p>
      <w:r>
        <w:t>c. Âgé de plus de 31 ans, le recourant n’a pas justifié la nécessité de suivre la formation souhaitée à Genève plutôt qu'au Pakistan ou au Royaume-Uni, où il avait déjà été admis en tant qu'étudiant et avait suivi des cours pendant deux ans.</w:t>
      </w:r>
    </w:p>
    <w:p>
      <w:r>
        <w:t>d. Le recourant, qui était censé finir son master en septembre 2014, n'a fourni pendant toute la procédure aucun procès-verbal d'examens permettant de démontrer qu'il a réussi une partie de sa formation et que celle-ci avance conformément à un plan d'études qui lui serait propre. Il n'a de même fourni aucune attestation d'inscription à des examens, de participation à des séminaires ou d'acceptation à un stage pour le printemps ou l'automne 2014.</w:t>
      </w:r>
    </w:p>
    <w:p>
      <w:r>
        <w:t>Les éléments précités autorisaient l’OCPM à retenir qu’il n’était pas venu en Suisse dans le but exclusif d’effectuer des études et à considérer que son retour n’était pas suffisamment assuré à l’issue de celles-ci.</w:t>
      </w:r>
    </w:p>
    <w:p>
      <w:r>
        <w:t>Dans ces circonstances et en considération de la pratique restrictive des autorités helvétiques dans la réglementation des conditions de résidence des étudiants étrangers et dans la délivrance de permis de séjour pour études, la décision de refus de l’OCPM se justifiait au regard des conditions légales. 12) a. 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w:t>
      </w:r>
    </w:p>
    <w:p>
      <w:r>
        <w:t>b. En l’espèce, la décision de renvoyer le recourant n’est que la conséquence du refus de lui accorder une autorisation pour études. Celui-ci n’a jamais allégué que son retour dans son pays d’origine serait impossible, illicite ou inexigible au</w:t>
      </w:r>
    </w:p>
    <w:p>
      <w:r>
        <w:t>- 11/13 - A/3391/2013 regard de l’art. 83 LEtr. Le dossier ne laisse pas apparaître d’éléments qui tendraient à démontrer le contraire ; du reste, le recourant est, selon les pièces fournies par l'OCPM, retourné au Pakistan de son propre gré. Ladite décision ne peut qu’être confirmée. 13) Le TAPI ayant correctement appliqué le droit, le recours contre son jugement sera rejeté. Un émolument de CHF 400.- sera mis à la charge du recourant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