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ATA/62/2014 vom 4. Februar 2014</w:t>
      </w:r>
    </w:p>
    <w:p>
      <w:r>
        <w:t>GE Cour de justice, 2014-02-04, FR</w:t>
      </w:r>
    </w:p>
    <w:p>
      <w:r>
        <w:rPr>
          <w:b/>
        </w:rPr>
        <w:t xml:space="preserve">Quelle: </w:t>
      </w:r>
      <w:r>
        <w:t>https://mcp.opencaselaw.ch/entscheid/ge_gerichte_ATA_62_2014</w:t>
      </w:r>
    </w:p>
    <w:p>
      <w:r>
        <w:t>FR: GE_GERICHTE ATA/62/2014 du 4 février 2014</w:t>
      </w:r>
    </w:p>
    <w:p>
      <w:r>
        <w:t>IT: GE_GERICHTE ATA/62/2014 del 4 febbraio 2014</w:t>
      </w:r>
    </w:p>
    <w:p>
      <w:pPr>
        <w:pStyle w:val="Heading2"/>
      </w:pPr>
      <w:r>
        <w:t>Erwägungen</w:t>
      </w:r>
    </w:p>
    <w:p>
      <w:r>
        <w:rPr>
          <w:b/>
        </w:rPr>
        <w:t>E. 12</w:t>
      </w:r>
    </w:p>
    <w:p>
      <w:r>
        <w:t>septembre 1985 - LPA - E 5 10).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4)</w:t>
      </w:r>
    </w:p>
    <w:p>
      <w:r>
        <w:t>L’art. 23 al. 1 de l’ordonnance relative à l’admission, au séjour et à l’exercice d’une activité lucrative du 24 octobre 2007 (OASA - RS 142.201) prévoit que l’étranger doit prouver qu’il dispose des moyens financiers nécessaires à une formation ou à un perfectionnement. 5)</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(ATA/718/2013 du 29 octobre 2013 ;</w:t>
      </w:r>
    </w:p>
    <w:p>
      <w:r>
        <w:t>- 6/9 - A/1285/2013 ATA/690/2013 du 15 octobre 2013 ; ATA 97/2013 du 19 février 2013. L’autorité administrative la prend en considération dans l’examen des qualifications personnelles requises au sens des art. 27 al. 1 let. d LEtr et 23 al. 2 OASA. En effet, à teneur de cette dernière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(Arrêts du Tribunal administratif fédéral C-2291/2013 du 31 décembre 2013 consid 6.2.1 ; C-4733/2011 du 25 janvier 2013 consid 6.3). 6)</w:t>
      </w:r>
    </w:p>
    <w:p>
      <w:r>
        <w:t>Pour qu’une autorisation de séjour soit accordée, la direction de l’école doit confirmer que le candidat possède le niveau de formation et les connaissances linguistiques requis pour suivre la formation envisagée (art. 24 al. 3 OASA). L’étranger doit également présenter un plan d’études personnel et préciser le but recherché.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7)</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8)</w:t>
      </w:r>
    </w:p>
    <w:p>
      <w:r>
        <w:t>L’office et le TAPI ont notamment considéré que les conditions du logement approprié et des moyens financiers suffisants n’étaient pas remplies, étant précisé que les conditions posées à l’art. 27 LEtr sont cumulatives.</w:t>
      </w:r>
    </w:p>
    <w:p>
      <w:r>
        <w:t>En l’occurrence, hormis la fourniture d’une adresse de résidence qu’il indique être celle d’un ami l’hébergeant provisoirement, le recourant ne peut fournir aucune indication documentée permettant de retenir qu’il bénéficie de conditions de logement compatibles avec la poursuite d’études en Suisse. En</w:t>
      </w:r>
    </w:p>
    <w:p>
      <w:r>
        <w:t>- 7/9 - A/1285/2013 outre, malgré les demandes de l’office, il n’a jamais pu établir qu’il disposait en Suisse des moyens financiers nécessaires à assurer et terminer dans les meilleurs délais les études entreprises. Au vu des pièces qu’il a produites, il ne dispose d’aucun patrimoine en Suisse et les personnes qui se portent garantes de ses frais d’entretien n’y sont pas domiciliées. Dès lors, aucune d’elles ne pourrait sans difficulté être mise à contribution s’il venait à ne plus arriver à subvenir à ses besoins. Sur la base de ces seuls constats, l’office était en droit de considérer que les conditions d’octroi d’un permis de séjour pour études n’étaient pas réalisées.</w:t>
      </w:r>
    </w:p>
    <w:p>
      <w:r>
        <w:t>Au surplus, cette autorité administrative n’a pas abusé du large pouvoir d’appréciation dont elle bénéficiait lors de l’examen des qualifications personnelles du recourant, au regard des exigences de l’art. 5 al. 2 LEtr. Ce dernier ayant pris le risque de résider illégalement en Suisse durant plusieurs années, avant de déposer sa demande d’autorisation de séjour pour études, l’office était fondé à retenir qu’il ne présentait pas les qualifications personnelles au sens de l’art 27 al. 1 let. d LEtr, garantissant qu’il ne cherchait pas à éluder les prescriptions restrictives sur le séjour et l’établissement des étrangers en Suisse.</w:t>
      </w:r>
    </w:p>
    <w:p>
      <w:r>
        <w:t>Dans ces circonstances, l’autorité intimée était fondée à refuser de délivrer une autorisation de séjour pour études au recourant. 9)</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10) En l’espèce, le recourant n’a jamais allégué que son retour dans son pays d’origine serait impossible, illicite ou inexigible au regard de l’art. 83 LEtr, et le dossier ne laisse pas apparaître d’éléments qui tendraient à démontrer le contraire. 11) Mal fondé, le recours sera rejeté. Aucun émolument ne sera mis à la charge du recourant, qui plaide au bénéfice de l’assistance juridique (art. 12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