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ATA/629/2018 vom 19. Juni 2018</w:t>
      </w:r>
    </w:p>
    <w:p>
      <w:r>
        <w:t>GE Cour de justice, 2018-06-19, FR</w:t>
      </w:r>
    </w:p>
    <w:p>
      <w:r>
        <w:rPr>
          <w:b/>
        </w:rPr>
        <w:t xml:space="preserve">Quelle: </w:t>
      </w:r>
      <w:r>
        <w:t>https://mcp.opencaselaw.ch/entscheid/ge_gerichte_ATA_629_2018</w:t>
      </w:r>
    </w:p>
    <w:p>
      <w:r>
        <w:t>FR: GE_GERICHTE ATA/629/2018 du 19 juin 2018</w:t>
      </w:r>
    </w:p>
    <w:p>
      <w:r>
        <w:t>IT: GE_GERICHTE ATA/629/2018 del 19 giugno 2018</w:t>
      </w:r>
    </w:p>
    <w:p>
      <w:pPr>
        <w:pStyle w:val="Heading2"/>
      </w:pPr>
      <w:r>
        <w:t>Erwägungen</w:t>
      </w:r>
    </w:p>
    <w:p>
      <w:r>
        <w:rPr>
          <w:b/>
        </w:rPr>
        <w:t>E. 12</w:t>
      </w:r>
    </w:p>
    <w:p>
      <w:r>
        <w:t>septembre 1985 - LPA --E 5 10). 2) a. Le 1er juillet 2017 est entrée en vigueur la loi sur les taxis et les voitures de transport avec chauffeur du 13 octobre 2016 (LTVTC - H 1 31) et le règlement d'exécution de la loi sur les taxis et les voitures de transport avec chauffeur du 21 juin 2017 (RTVTC - H 1 31.01) abrogeant la LTaxis et le RTaxis (art. 40 LTVTC et art. 53 RTVTC).</w:t>
      </w:r>
    </w:p>
    <w:p>
      <w:r>
        <w:t>b. Aux termes des dispositions transitoires du RTVTC, les faits constatés avant l'entrée en vigueur de la loi se poursuivent selon l'ancien droit et devant les autorités compétentes sous l'empire de ce droit. L’art. 48 LTaxis, concernant la commission de discipline, n’est toutefois pas applicable. L’application du nouveau droit est réservée, si ce dernier est plus favorable à l’auteur de l’infraction (art. 66 RTVTC).</w:t>
      </w:r>
    </w:p>
    <w:p>
      <w:r>
        <w:t>c. En règle générale, s'appliquent aux faits dont les conséquences juridiques sont en cause, les normes en vigueur au moment où ces faits se produisent (ATA/1570/2017 du 5 décembre 2017 consid. 12 ; ATA/1184/2015 du 3 novembre 2015 ; Pierre MOOR/Alexandre FLÜCKIGER/ Vincent MARTENET, Droit administratif, vol. I, 3ème éd., 2012, p. 184).</w:t>
      </w:r>
    </w:p>
    <w:p>
      <w:r>
        <w:t>d. En l’espèce, les faits retenus dans la décision attaquée se sont déroulés entièrement sous l’ancien droit. S’agissant de l’amende, la chambre de céans a déjà retenu que le nouveau droit (art. 38 al. 1 LTVTC) qui prévoit en cas de violation de ses prescriptions ou de ses dispositions d’exécution une amende de CHF 200.- à CHF 20'000.- n’était pas plus favorable que l’art. 45 al. 1 LTaxis qui punit d’une amende administrative de CHF 100.- à CHF 20'000.- toute personne ayant enfreint les prescriptions de la LTaxis ou de ses dispositions d’exécution (ATA/1368/2017 du 10 octobre 2017 consid. 3c ; ATA/1239/2017 du 29 août 2017).</w:t>
      </w:r>
    </w:p>
    <w:p>
      <w:r>
        <w:t>La présente cause est donc soumise à la LTaxis et au RTaxis, ce que les parties ne contestent pas. 3) a. La LTaxis a pour objet d’assurer un exercice des professions de transport de personnes au moyen de voitures automobiles et une exploitation des services de taxis et de limousines conformes, notamment, aux exigences de la sécurité publique, de la moralité publique, du respect de l’environnement et de la loyauté dans les transactions commerciales ainsi qu’aux règles relatives à l’utilisation du domaine public (art. 1 al. 1 LTaxis).</w:t>
      </w:r>
    </w:p>
    <w:p>
      <w:r>
        <w:t>- 4/6 - A/755/2018</w:t>
      </w:r>
    </w:p>
    <w:p>
      <w:r>
        <w:t>b. Concernant l’aéroport, l’art. 23 al. 2 RTaxis prévoit que les chauffeurs qui accèdent à la station au niveau « Arrivées » s’engagent à accepter le paiement de la course soit par carte de crédit, soit en euros ou en dollars américains, et à se rendre à toute destination dans un rayon de cinquante kilomètres. 4)</w:t>
      </w:r>
    </w:p>
    <w:p>
      <w:r>
        <w:t>Le litige porte exclusivement sur la question de savoir si le recourant a violé ses obligations en n’acceptant pas le paiement par carte de crédit. 5)</w:t>
      </w:r>
    </w:p>
    <w:p>
      <w:r>
        <w:t>Selon une jurisprudence constante du Tribunal fédéral, la loi s’interprète en premier lieu selon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(ATF 143 I 109 consid. 6 ; 142 II 388 consid. 9.6.1 et les références citées ; ATA/1100/2017 du 18 juillet 2017 ; ATA/1099/2017 du 18 juillet 2017).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(ATF 142 II 388 consid. 9.6.1 ; 139 II 39 consid. 5.3.1 ; ATA/212/2016 du 9 mars 2016). Enfin, si plusieurs interprétations sont admissibles, il faut choisir celle qui est conforme à la Constitution (ATF 141 II 338 consid. 3.1 ; arrêt du Tribunal fédéral 9C_219/2014 du 23 septembre 2014 consid. 5.2. et les arrêts cités). 6)</w:t>
      </w:r>
    </w:p>
    <w:p>
      <w:r>
        <w:t>En l’espèce, le texte de l’art. 23 al. 2 RTaxis est clair. À deux reprises, le texte fait mention des termes « soit » indiquant une alternative, à savoir que le chauffeur doit offrir la possibilité soit d’un paiement par carte de crédit, soit en espèces, deux monnaies étant alors proposées.</w:t>
      </w:r>
    </w:p>
    <w:p>
      <w:r>
        <w:t>Rien dans l’article n’indique une obligation du chauffeur de devoir accepter le paiement par carte de crédit. L’autorité intimée ne le soutient d’ailleurs pas, mais se prévaut du but de la loi.</w:t>
      </w:r>
    </w:p>
    <w:p>
      <w:r>
        <w:t>Toutefois, dès lors que le texte légal est clair, il n’est pas sujet à interprétation téléologique.</w:t>
      </w:r>
    </w:p>
    <w:p>
      <w:r>
        <w:t>L’affiche posée à l’aéroport confirme que différents moyens de paiement sont offerts, de façon alternative et qu’il convient de se renseigner auprès du chauffeur.</w:t>
      </w:r>
    </w:p>
    <w:p>
      <w:r>
        <w:t>Les clarifications apportées dans la nouvelle loi confirment le caractère précédemment alternatif des moyens de paiement. Les travaux préparatoires</w:t>
      </w:r>
    </w:p>
    <w:p>
      <w:r>
        <w:t>- 5/6 - A/755/2018 mentionnent d’ailleurs: « Nous avons donc inscrit de manière obligatoire dans la loi le fait qu'ils pouvaient désormais payer avec un système de carte de crédit » (MGC, Séance 34 du 27 mars 2014 à 10h, disponible sur http://ge.ch/grandconseil/memorial/seances/010106/34/7/).</w:t>
      </w:r>
    </w:p>
    <w:p>
      <w:r>
        <w:t>En conséquence, le recourant n’a pas violé l’art. 23 al. 2 RTaxis. 7)</w:t>
      </w:r>
    </w:p>
    <w:p>
      <w:r>
        <w:t>Au vu de ce qui précède, le recours sera admis.</w:t>
      </w:r>
    </w:p>
    <w:p>
      <w:r>
        <w:t>La décision querellée sera annulée. 8)</w:t>
      </w:r>
    </w:p>
    <w:p>
      <w:r>
        <w:t>Vu l'issue du litige, aucun émolument ne sera perçu (art. 87 al. 1 LPA). Une indemnité de procédure de CHF 1’000.- sera allouée au recourant, à la charge de l’État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