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ATA/629/2012 vom 18. September 2012</w:t>
      </w:r>
    </w:p>
    <w:p>
      <w:r>
        <w:t>GE Cour de justice, 2012-09-18, FR</w:t>
      </w:r>
    </w:p>
    <w:p>
      <w:r>
        <w:rPr>
          <w:b/>
        </w:rPr>
        <w:t xml:space="preserve">Quelle: </w:t>
      </w:r>
      <w:r>
        <w:t>https://mcp.opencaselaw.ch/entscheid/ge_gerichte_ATA_629_2012</w:t>
      </w:r>
    </w:p>
    <w:p>
      <w:r>
        <w:t>FR: GE_GERICHTE ATA/629/2012 du 18 septembre 2012</w:t>
      </w:r>
    </w:p>
    <w:p>
      <w:r>
        <w:t>IT: GE_GERICHTE ATA/629/2012 del 18 settembre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w:t>
      </w:r>
    </w:p>
    <w:p>
      <w:r>
        <w:rPr>
          <w:b/>
        </w:rPr>
        <w:t>E. 3</w:t>
      </w:r>
    </w:p>
    <w:p>
      <w:r>
        <w:t>La dénonciation reçue par le Scom de la part du client est parfaitement étayée et détaillée. Quant au recourant, il a pu donner sa version des faits en adressant des observations écrites au Scom le 29 août 2011, soit à une date où il avait certainement un souvenir plus précis des faits s’étant déroulés en juin 2011 que s’il était confronté maintenant au dénonciateur, à supposer que celui-ci travaille toujours à Genève. Or, il résulte de la dénonciation que le Scom n’a, à juste titre, pas retenu à l’encontre du recourant un refus de course, quand bien même, apprenant que le client désirait se rendre au CERN, il aurait invité celui-ci à emprunter la navette plutôt qu’un taxi. Seul le comportement adopté par le recourant a été incriminé. D’après la dénonciation, il apparaît que le chauffeur a pris les bagages du client, mais rien n’indique que ce dernier aurait souhaité que ses bagages soient à l’intérieur de l’habitacle du véhicule plutôt que dans le coffre.</w:t>
      </w:r>
    </w:p>
    <w:p>
      <w:r>
        <w:t>- 5/6 - A/840/2012 En revanche, et selon les explications écrites de M. X______, celui-ci refuse d’être considéré comme une serpillère par des clients qui pensent pouvoir tout acheter. Cette affirmation dénote en tout cas l’état d’esprit du chauffeur et ce dernier n’a pas remis en cause l’agressivité qui lui a été reprochée par le client, ni les propos qu’il aurait tenus à l’encontre de celui-ci.</w:t>
      </w:r>
    </w:p>
    <w:p>
      <w:r>
        <w:t>Il en résulte qu’une confrontation entre ces deux personnes n’est pas nécessaire et que le Scom était fondé à retenir, sur la base du dossier, une violation du devoir de courtoisie commise par M. X______.</w:t>
      </w:r>
    </w:p>
    <w:p>
      <w:r>
        <w:rPr>
          <w:b/>
        </w:rPr>
        <w:t>E. 4</w:t>
      </w:r>
    </w:p>
    <w:p>
      <w:r>
        <w:t>Il a déjà été jugé que l’infraction commise, telle la violation du devoir général de courtoisie prévu par l’art. 34 al. 1 LTaxis, peut être sanctionnée par le prononcé d’une amende, qui doit satisfaire aux conditions de l’art. 45 LTaxis. Pour les infractions impliquant des amendes, le préavis de la commission de discipline peut être donné au Scom par la seule approbation d’un barème (art. 74 al. 3 RTaxis), ce que ladite commission a fait au terme de sa séance du 21 octobre 2010, selon les dernières pièces produites par le Scom. Ledit barème prévoit de sanctionner la violation du devoir de courtoisie par une amende allant de CHF 100.- à CHF 800.-. En infligeant à M. X______ une amende de CHF 300.-, le Scom a respecté cette fourchette et l’amende, inférieure à la moitié du montant maximum possible, est proportionnée à la faute commise. Le recourant n’en conteste pas expressément le montant, ni n’allègue être dans l’incapacité de s’acquitter de celui-ci.</w:t>
      </w:r>
    </w:p>
    <w:p>
      <w:r>
        <w:rPr>
          <w:b/>
        </w:rPr>
        <w:t>E. 5</w:t>
      </w:r>
    </w:p>
    <w:p>
      <w:r>
        <w:t>En tous points mal fondé, le recours sera rejeté. Un émolument de CHF 250.- sera mis à la charge du recourant. Il ne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