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ATA/627/2020 vom 30. Juni 2020</w:t>
      </w:r>
    </w:p>
    <w:p>
      <w:r>
        <w:t>GE Cour de justice, 2020-06-30, FR</w:t>
      </w:r>
    </w:p>
    <w:p>
      <w:r>
        <w:rPr>
          <w:b/>
        </w:rPr>
        <w:t xml:space="preserve">Quelle: </w:t>
      </w:r>
      <w:r>
        <w:t>https://mcp.opencaselaw.ch/entscheid/ge_gerichte_ATA_627_2020</w:t>
      </w:r>
    </w:p>
    <w:p>
      <w:r>
        <w:t>FR: GE_GERICHTE ATA/627/2020 du 30 juin 2020</w:t>
      </w:r>
    </w:p>
    <w:p>
      <w:r>
        <w:t>IT: GE_GERICHTE ATA/627/2020 del 30 giugno 2020</w:t>
      </w:r>
    </w:p>
    <w:p>
      <w:pPr>
        <w:pStyle w:val="Heading2"/>
      </w:pPr>
      <w:r>
        <w:t>Erwägungen</w:t>
      </w:r>
    </w:p>
    <w:p>
      <w:r>
        <w:rPr>
          <w:b/>
        </w:rPr>
        <w:t>E. 1</w:t>
      </w:r>
    </w:p>
    <w:p>
      <w:r>
        <w:t>a. Aux termes de l'art. 80 LPA,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w:t>
      </w:r>
    </w:p>
    <w:p>
      <w:r>
        <w:t>En vertu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Le cas de</w:t>
      </w:r>
    </w:p>
    <w:p>
      <w:r>
        <w:t>- 5/8 - A/3752/2019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t>b. L'art. 80 let. b LPA vise uniquement les faits et moyens de preuve qui existaient au moment de la première procédure, mais n'avaient alors pas été soumis au juge (faits nouveaux « anciens »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t>Les preuves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w:t>
      </w:r>
    </w:p>
    <w:p>
      <w:r>
        <w:t>c.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(ATA/362/2018 précité consid. 1d ; ATA/294/2015 précité consid. 3d et les références citées).</w:t>
      </w:r>
    </w:p>
    <w:p>
      <w:r>
        <w:t>Lorsque aucune condition de l’art. 80 LPA n’est remplie, la demande est déclarée irrecevable (ATA/1748/2019 du 3 décembre 2019; ATA/1149/2019 du 19 juillet 2019 consid. 2 ; ATA/418/2019 du 9 avril 2019).</w:t>
      </w:r>
    </w:p>
    <w:p>
      <w:r>
        <w:rPr>
          <w:b/>
        </w:rPr>
        <w:t>E. 2</w:t>
      </w:r>
    </w:p>
    <w:p>
      <w:r>
        <w:t>a. En l’espèce, les demandeurs soutiennent avoir pris connaissance le</w:t>
      </w:r>
    </w:p>
    <w:p>
      <w:r>
        <w:rPr>
          <w:b/>
        </w:rPr>
        <w:t>E. 4</w:t>
      </w:r>
    </w:p>
    <w:p>
      <w:r>
        <w:t>juillet 2019 de la convention de répartition des terrains et des droits à bâtir du</w:t>
      </w:r>
    </w:p>
    <w:p>
      <w:r>
        <w:t>- 6/8 - A/3752/2019 périmètre de la gare des Eaux-Vives liant la Ville de Genève, le canton de Genève et les défendeurs et de l’avenant à cette convention.</w:t>
      </w:r>
    </w:p>
    <w:p>
      <w:r>
        <w:t>Or, cette convention et son avenant sont aisément accessibles et l’étaient déjà au moment de la précédente procédure puisqu’il s’agit de documents figurant dans le recueil officiel de la législation cantonale (https://www.ge.ch/legislation). En faisant preuve de la diligence requise, les demandeurs auraient pu produire ces éléments dans leur recours. Il en va de même de l’étude d’impact relative au PLQ gare des Eaux-Vives ; cette étude a également fait l’objet d’une publication sur le site du canton de Genève (https://ge.ch/sitg/RDPPF/RDPPF-AMENAGEMENT/ PLQ/29786REIE.pdf). Ces éléments ne constituent donc pas des faits nouveaux au sens de l’art. 80 let. b LPA. Ces moyens de preuve auraient pu et dû être produits dans la précédente procédure.</w:t>
      </w:r>
    </w:p>
    <w:p>
      <w:r>
        <w:t>b. Les demandeurs soutiennent, par ailleurs, que les défendeurs ont commis une escroquerie au procès en déclarant que le développement économique de leur parcelle ne concernait pas le canton de Genève, alors que les documents qu’ils allèguent avoir découverts le 4 juillet 2019 démontreraient le contraire.</w:t>
      </w:r>
    </w:p>
    <w:p>
      <w:r>
        <w:t>Ce reproche tombe à faux. D’une part, lesdits documents ne démontrent pas que le développement économique de la parcelle appartenant aux défendeurs concerne le canton ; les demandeurs n’exposent d’ailleurs pas en quoi le canton participe ou bénéficie du développement économique de la parcelle des défendeurs. D’autre part, quand bien même tel serait le cas, le caractère astucieux – élément constitutif de l’escroquerie au sens de l’art. 146 CP – ferait défaut. En effet, en tant que les demandeurs estiment que ces documents démontreraient le caractère mensonger de l’affirmation précitée des défendeurs, ils pouvaient facilement vérifier ladite affirmation, dès lors que l’étude d’impact, la convention précitée et son avenant sont des documents publics aisément consultables.</w:t>
      </w:r>
    </w:p>
    <w:p>
      <w:r>
        <w:t>Enfin, il ressort de l’arrêt de la chambre de céans dont la révision est demandée qu’elle a considéré que même s’il existait une convention ou un partenariat public-privé en vue de l’attribution d’un marché public entre les CFF et le canton, il n’en demeurerait pas moins que le litige, qui se rapporterait alors à la location de locaux commerciaux dans le cadre d’un marché public, relèverait de la compétence du TAF. Ainsi, les éléments sur lesquels la demande en révision est fondée ne constituent pas des éléments pertinents au sens de l’art. 80 LPA. En effet, ils ne sont pas de nature à modifier l'état de fait à la base de l’arrêt dont la révision est demandée, celui-ci ayant examiné l’état de fait que les demandeurs allèguent dans leur demande en révision.</w:t>
      </w:r>
    </w:p>
    <w:p>
      <w:r>
        <w:t>Aucune des hypothèses de l'art. 80 LPA n’étant réalisée, la demande en révision sera déclarée irrecevable. Au vu de cette issue, il n’y a pas lieu de procéder à l’appel en cause de la Ville et du canton de Genève.</w:t>
      </w:r>
    </w:p>
    <w:p>
      <w:r>
        <w:t>- 7/8 - A/3752/2019 3.</w:t>
      </w:r>
    </w:p>
    <w:p>
      <w:r>
        <w:t>Les demandeurs, qui succombent, supporteront solidairement l’émolument de CHF 800.-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