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ATA/627/2013 vom 24. September 2013</w:t>
      </w:r>
    </w:p>
    <w:p>
      <w:r>
        <w:t>GE Cour de justice, 2013-09-24, FR</w:t>
      </w:r>
    </w:p>
    <w:p>
      <w:r>
        <w:rPr>
          <w:b/>
        </w:rPr>
        <w:t xml:space="preserve">Quelle: </w:t>
      </w:r>
      <w:r>
        <w:t>https://mcp.opencaselaw.ch/entscheid/ge_gerichte_ATA_627_2013</w:t>
      </w:r>
    </w:p>
    <w:p>
      <w:r>
        <w:t>FR: GE_GERICHTE ATA/627/2013 du 24 septembre 2013</w:t>
      </w:r>
    </w:p>
    <w:p>
      <w:r>
        <w:t>IT: GE_GERICHTE ATA/627/2013 del 24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w:t>
      </w:r>
    </w:p>
    <w:p>
      <w:r>
        <w:t>- 3/4 - A/2682/2012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(ATA/402/2013 du 25 juin 2013 ; ATA/258/2011 du 19 avril 2011).</w:t>
      </w:r>
    </w:p>
    <w:p>
      <w:r>
        <w:rPr>
          <w:b/>
        </w:rPr>
        <w:t>E. 3</w:t>
      </w:r>
    </w:p>
    <w:p>
      <w:r>
        <w:t>En l’espèce, l’avance de frais demandée par pli recommandé a été versée deux jours après l'expiration du délai imparti.</w:t>
      </w:r>
    </w:p>
    <w:p>
      <w:r>
        <w:rPr>
          <w:b/>
        </w:rPr>
        <w:t>E. 4</w:t>
      </w:r>
    </w:p>
    <w:p>
      <w:r>
        <w:t>a. Les délais fixés par le juge ont un caractère impératif. Ils peuvent être prolongés sur requête motivée de la personne à laquelle ils sont imposés si cette dernière effectue une démarche dans ce sens avant l’échéance du délai imparti (art. 16 al. 2 LPA).</w:t>
      </w:r>
    </w:p>
    <w:p>
      <w:r>
        <w:t>b.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9ème éd., 2000, p. 229 et les références citées).</w:t>
      </w:r>
    </w:p>
    <w:p>
      <w:r>
        <w:rPr>
          <w:b/>
        </w:rPr>
        <w:t>E. 5</w:t>
      </w:r>
    </w:p>
    <w:p>
      <w:r>
        <w:t>En l'espèce, la recourante admet avoir procédé tardivement au versement de l'avance de frais, alors qu'elle avait eu en main le courrier du TAPI du 7 novembre 2012. On peut comprendre de ses explications qu'elle n'avait pas lu attentivement ce document, ce qui ne constitue à l'évidence pas un cas de force majeure.</w:t>
      </w:r>
    </w:p>
    <w:p>
      <w:r>
        <w:t>Manifestement mal fondé, le recours sera rejeté, sans autre instruction préalable, en application de l’art. 72 LPA.</w:t>
      </w:r>
    </w:p>
    <w:p>
      <w:r>
        <w:rPr>
          <w:b/>
        </w:rPr>
        <w:t>E. 6</w:t>
      </w:r>
    </w:p>
    <w:p>
      <w:r>
        <w:t>Conformément à la pratique de la chambre administrative, aucun émolument ne sera mis à la charge de la recourante, bien qu’elle succombe (art. 87 LPA ; ATA/403/2013 déjà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