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ATA/625/2015 vom 16. Juni 2015</w:t>
      </w:r>
    </w:p>
    <w:p>
      <w:r>
        <w:t>GE Cour de justice, 2015-06-16, FR</w:t>
      </w:r>
    </w:p>
    <w:p>
      <w:r>
        <w:rPr>
          <w:b/>
        </w:rPr>
        <w:t xml:space="preserve">Quelle: </w:t>
      </w:r>
      <w:r>
        <w:t>https://mcp.opencaselaw.ch/entscheid/ge_gerichte_ATA_625_2015</w:t>
      </w:r>
    </w:p>
    <w:p>
      <w:r>
        <w:t>FR: GE_GERICHTE ATA/625/2015 du 16 juin 2015</w:t>
      </w:r>
    </w:p>
    <w:p>
      <w:r>
        <w:t>IT: GE_GERICHTE ATA/625/2015 del 16 giugno 2015</w:t>
      </w:r>
    </w:p>
    <w:p>
      <w:pPr>
        <w:pStyle w:val="Heading2"/>
      </w:pPr>
      <w:r>
        <w:t>Erwägungen</w:t>
      </w:r>
    </w:p>
    <w:p>
      <w:r>
        <w:rPr>
          <w:b/>
        </w:rPr>
        <w:t>E. 19</w:t>
      </w:r>
    </w:p>
    <w:p>
      <w:r>
        <w:t>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les recourants à s'acquitter d'une avance de frais d'un montant de CHF 300.- dans un délai échéant le 13 mai 2015, sous peine d'irrecevabilité de leur recours (art. 86 al. 2 LPA) ;</w:t>
      </w:r>
    </w:p>
    <w:p>
      <w:r>
        <w:t>que sans nouvelles de leur part, un rappel leur a été adressé le 20 mai 2015 par plis simple et recommandé, avec un ultime délai au 4 juin 2015,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A______ et Monsieur B______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A/1168/2015 communique la présente décision à l’ASLOCA, soit pour elle Messieurs Damien Chervaz et Lucien Bachelard, mandataires de Madame A______ et Monsieur B______,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