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ATA/624/2023 vom 13. Juni 2023</w:t>
      </w:r>
    </w:p>
    <w:p>
      <w:r>
        <w:t>GE Cour de justice, 2023-06-13, FR</w:t>
      </w:r>
    </w:p>
    <w:p>
      <w:r>
        <w:rPr>
          <w:b/>
        </w:rPr>
        <w:t xml:space="preserve">Quelle: </w:t>
      </w:r>
      <w:r>
        <w:t>https://mcp.opencaselaw.ch/entscheid/ge_gerichte_ATA_624_2023</w:t>
      </w:r>
    </w:p>
    <w:p>
      <w:r>
        <w:t>FR: GE_GERICHTE ATA/624/2023 du 13 juin 2023</w:t>
      </w:r>
    </w:p>
    <w:p>
      <w:r>
        <w:t>IT: GE_GERICHTE ATA/624/2023 del 13 giugno 2023</w:t>
      </w:r>
    </w:p>
    <w:p>
      <w:pPr>
        <w:pStyle w:val="Heading2"/>
      </w:pPr>
      <w:r>
        <w:t>Erwägungen</w:t>
      </w:r>
    </w:p>
    <w:p>
      <w:r>
        <w:rPr>
          <w:b/>
        </w:rPr>
        <w:t>E. 1</w:t>
      </w:r>
    </w:p>
    <w:p>
      <w:r>
        <w:t>Le recours a été interjeté en temps utile devant la juridiction compétente (art. 132 de la loi sur l'organisation judiciaire du 26 septembre 2010 - LOJ - E 2 05 ; art. 62 al. 1 let. a de la loi sur la procédure administrative du 12 septembre 1985 - LPA - E 5 10).</w:t>
      </w:r>
    </w:p>
    <w:p>
      <w:r>
        <w:rPr>
          <w:b/>
        </w:rPr>
        <w:t>E. 1.1</w:t>
      </w:r>
    </w:p>
    <w:p>
      <w:r>
        <w:t>et les références citées).</w:t>
      </w:r>
    </w:p>
    <w:p>
      <w:r>
        <w:t>- 9/15 - A/2472/2018</w:t>
      </w:r>
    </w:p>
    <w:p>
      <w:r>
        <w:rPr>
          <w:b/>
        </w:rPr>
        <w:t>E. 2</w:t>
      </w:r>
    </w:p>
    <w:p>
      <w:r>
        <w:t>Le présent arrêt fait suite à celui du Tribunal fédéral du 23 juin 2022 (2C_297/2021).</w:t>
      </w:r>
    </w:p>
    <w:p>
      <w:r>
        <w:rPr>
          <w:b/>
        </w:rPr>
        <w:t>E. 2.1</w:t>
      </w:r>
    </w:p>
    <w:p>
      <w:r>
        <w:t>En application du principe de l’autorité de l’arrêt de renvoi du Tribunal fédéral, l’autorité cantonale à laquelle la cause est renvoyée par celui-ci est tenue de fonder sa nouvelle décision sur les considérants de droit de l’arrêt du Tribunal fédéral. Elle est ainsi liée par ce qui a déjà été définitivement tranché par le Tribunal fédéral et par les constatations de fait qui n’ont pas été attaquées devant lui ou l’ont été sans succès. La motivation de l’arrêt de renvoi détermine dans quelle mesure la cour cantonale est liée à la première décision, décision de renvoi qui fixe aussi bien le cadre du nouvel état de fait que celui de la nouvelle motivation juridique (arrêt du Tribunal 6B_904/2020 du 7 septembre 2020 consid.</w:t>
      </w:r>
    </w:p>
    <w:p>
      <w:r>
        <w:rPr>
          <w:b/>
        </w:rPr>
        <w:t>E. 2.2</w:t>
      </w:r>
    </w:p>
    <w:p>
      <w:r>
        <w:t>À la suite de l’arrêt de renvoi du Tribunal fédéral, est litigieuse la recevabilité du recours au regard des circonstances dans lesquelles l’avance de frais avait été effectuée. Contrairement à ce qui a été retenu à tort dans l’arrêt annulé par le TF, l’avance de frais requise du recourant (art. 86 LPA) a bien été acquittée dans le délai supplémentaire imparti par la chambre administrative au 15 août 2021, au vu du timbre de la poste apposé sur le récépissé du bulletin de versement le 13 août 2021, produit par le recourant. Le fond du litige doit partant être examiné.</w:t>
      </w:r>
    </w:p>
    <w:p>
      <w:r>
        <w:rPr>
          <w:b/>
        </w:rPr>
        <w:t>E. 3</w:t>
      </w:r>
    </w:p>
    <w:p>
      <w:r>
        <w:t>Le recourant sollicite l’audition d’un témoin.</w:t>
      </w:r>
    </w:p>
    <w:p>
      <w:r>
        <w:rPr>
          <w:b/>
        </w:rPr>
        <w:t>E. 3.1</w:t>
      </w:r>
    </w:p>
    <w:p>
      <w:r>
        <w:t>Tel qu'il est garanti par l'art. 29 al. 2 de la Constitution fédérale de la Confédération suisse du 18 avril 1999 (Cst. - RS 101), le droit d'être entendu comprend notamment le droit pour l'intéressé d'offrir des preuves pertinentes et d'obtenir qu'il y soit donné suite (ATF 132 II 485 consid. 3.2 ; 127 I 54 consid. 2b). Ce droit ne s'étend qu'aux éléments pertinents pour l'issue du litige et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 131 I 153 consid. 3). En outre, il n'implique pas le droit d'être entendu oralement, ni celui d'obtenir l'audition de témoins (ATF 134 I 140 consid. 5.3 ; 130 II 425 consid. 2.1).</w:t>
      </w:r>
    </w:p>
    <w:p>
      <w:r>
        <w:rPr>
          <w:b/>
        </w:rPr>
        <w:t>E. 3.2</w:t>
      </w:r>
    </w:p>
    <w:p>
      <w:r>
        <w:t>En l’espèce, le recourant a eu la possibilité de produire toute argumentation et toute pièce utile devant l’OCPM, le TAPI et la chambre de céans. Il n’explique pas en quoi l'audition du témoin cité dans son acte de recours pourrait être déterminante. Un seul témoignage d’un proche ne saurait suffire pour démontrer un séjour durant la période de 2000 à 2010. Alternativement, il aurait pu produire une attestation dans ce sens. La chambre de céans dispose ainsi d'un dossier complet lui permettant de trancher le litige en toute connaissance de cause. Il ne sera donc pas donné suite à cette demande d'audition.</w:t>
      </w:r>
    </w:p>
    <w:p>
      <w:r>
        <w:rPr>
          <w:b/>
        </w:rPr>
        <w:t>E. 4</w:t>
      </w:r>
    </w:p>
    <w:p>
      <w:r>
        <w:t>Le litige porte sur la conformité au droit du prononcé, le 2 novembre 2017, de la caducité de l’autorisation d’établissement du recourant à compter du 1er avril 2001, faute de résidence effective en Suisse.</w:t>
      </w:r>
    </w:p>
    <w:p>
      <w:r>
        <w:rPr>
          <w:b/>
        </w:rPr>
        <w:t>E. 5</w:t>
      </w:r>
    </w:p>
    <w:p>
      <w:r>
        <w:t>Le recours devant la chambre administrative peut être formé pour violation du droit, y compris l'excès et l'abus du pouvoir d'appréciation, ainsi que pour constatation inexacte des faits (art. 61 al. 1 LPA). En revanche, celle-ci ne connaît pas de l'opportunité des décisions prises en matière de police des étrangers, dès lors qu'il ne s'agit pas d'une mesure de contrainte (art. 61 al. 2 LPA ;</w:t>
      </w:r>
    </w:p>
    <w:p>
      <w:r>
        <w:t>- 10/15 - A/2472/2018 art. 10 al. 2 de la loi d'application de la loi fédérale sur les étrangers du 16 juin 1988 - LaLEtr - F 2 10, a contrario ; ATA/12/2020 du 7 janvier 2020 consid. 3).</w:t>
      </w:r>
    </w:p>
    <w:p>
      <w:r>
        <w:rPr>
          <w:b/>
        </w:rPr>
        <w:t>E. 6.1</w:t>
      </w:r>
    </w:p>
    <w:p>
      <w:r>
        <w:t>Le 1er janvier 2019 est entrée en vigueur une modification de la LEI et de l’ordonnance relative à l'admission, au séjour et à l'exercice d'une activité lucrative du 24 octobre 2007 (OASA - RS 142.201). Les faits pertinents pour le constat de la caducité respectivement la révocation des autorisations s’étant entièrement déroulés avant le 1er janvier 2019, l’ancien droit est applicable, étant précisé que la plupart des dispositions, notamment les art. 61 et 62 LEI, sont demeurées identiques (arrêt du Tribunal fédéral 2C_1075/2019 du 21 avril 2020 consid. 1.1).</w:t>
      </w:r>
    </w:p>
    <w:p>
      <w:r>
        <w:rPr>
          <w:b/>
        </w:rPr>
        <w:t>E. 6.2</w:t>
      </w:r>
    </w:p>
    <w:p>
      <w:r>
        <w:t>La LEI ne s'applique aux ressortissants des États membres de l'Union européenne que lorsque l'Accord du 21 juin 1999 entre la Confédération suisse d'une part, et la Communauté européenne et ses Etats membres, d'autre part, sur la libre circulation des personnes (ALCP - RS 0.142.112.681) n'en dispose pas autrement ou lorsqu'elle prévoit des dispositions plus favorables (art. 2 al. 2 LEtr). Comme l'ALCP ne réglemente pas la caducité de l'autorisation d'établissement UE/AELE, c'est l'art. 61 LEI qui est applicable (art. 23 al. 2 de l'ordonnance sur l'introduction progressive de la libre circulation des personnes entre, d'une part, la Confédération suisse et, d'autre part, l'Union européenne et ses États membres, ainsi qu'entre les États membres de l'Association européenne de libre-échange du 22 mai 2002 [OLCP - RS 142.203] ; arrêts du Tribunal fédéral 2C_607/2015 du</w:t>
      </w:r>
    </w:p>
    <w:p>
      <w:r>
        <w:rPr>
          <w:b/>
        </w:rPr>
        <w:t>E. 6.3</w:t>
      </w:r>
    </w:p>
    <w:p>
      <w:r>
        <w:t>Selon l’art. 61 al. 2 LEI, si un étranger quitte la Suisse sans déclarer son départ, l’autorisation de courte durée prend automatiquement fin après trois mois, l’autorisation de séjour ou d’établissement après six mois. Sur demande, l’autorisation d’établissement peut être maintenue pendant quatre ans. La demande de maintien de l’autorisation d’établissement doit être déposée avant l’échéance du délai de six mois (art. 79 al. 2 OASA). Elle sera adressée, dûment motivée, à l’autorité cantonale compétente en matière d’étrangers, qui statue librement dans les limites de sa compétence (directives et commentaires du secrétariat d’État au migrations [ci-après : SEM], domaine des étrangers, état au 1er novembre 2019, ch. 3.5.3.2.3).</w:t>
      </w:r>
    </w:p>
    <w:p>
      <w:r>
        <w:rPr>
          <w:b/>
        </w:rPr>
        <w:t>E. 6.4</w:t>
      </w:r>
    </w:p>
    <w:p>
      <w:r>
        <w:t>Selon la jurisprudence, l'autorisation d'établissement au sens de l'art. 34 LEI s'inscrit dans la durée, et confère à l'étranger le statut le plus favorable en lui garantissant un droit de résidence stable. Le maintien d'une autorisation de résidence de droit des étrangers présuppose néanmoins une présence physique minimale sur le territoire suisse, pour la définition de laquelle le législateur a</w:t>
      </w:r>
    </w:p>
    <w:p>
      <w:r>
        <w:t>- 11/15 - A/2472/2018 sciemment renoncé au renvoi à des notions telles que le centre des intérêts vitaux ou même le domicile (ATF 145 II 322 consid. 2.2). L’extinction de l’article prévue à l’art. 61 al. 2 LEI s’opère de iure (arrêt du Tribunal administratif fédéral 139/2016 consid. 5.1 et les références citées). Les délais prévus à l’art. 61 al. 2 LEI ne sont pas interrompus en cas de séjour temporaire en Suisse à des fins de visite, de tourisme ou d’affaires (art. 79 al. 1 OASA). La demande de maintien de l’autorisation d’établissement doit être déposée avant l’échéance du délai de six mois prévu par l'art. 61 al. 2 LEI (art. 79 al. 2 OASA). L’art. 6 § 5 Annexe I ALCP prévoit également que les interruptions de séjour ne dépassant pas six mois consécutifs n'affectent pas la validité du titre de séjour. Lorsqu’un étranger passe plusieurs années dans son pays d'origine, tout en interrompant régulièrement le délai de six mois de l'art. 61 al. 2 LEI par un séjour en Suisse, l'extinction de l'autorisation d'établissement doit dépendre du centre de ses intérêts (arrêts du Tribunal fédéral 2C_853/2010 du 22 mars 2011 consid. 5.1 ; 2C_408/2010 du 15 décembre 2010 consid. 4.2). Si l'étranger se constitue un domicile à l'étranger et y rentre les week-ends, mais qu'il séjourne en Suisse toute la semaine pour y exercer une activité indépendante, il y maintient la présence physique nécessaire au maintien de son autorisation d'établissement (ATF145 II 322 consid. 2.5). Une autorisation ne peut subsister lorsque l'étranger passe l'essentiel de son temps hors de Suisse, voire y transfère son domicile ou le centre de ses intérêts, sans jamais toutefois y rester consécutivement plus du délai légal, revenant régulièrement en Suisse pour une période relativement brève, même s'il garde un appartement en Suisse. Dans ces conditions, il faut considérer que le délai légal n'est pas interrompu lorsque l'étranger revient en Suisse avant l'échéance de ce délai non pas durablement, mais uniquement pour des séjours d'affaires ou de visite (ATF 120 Ib 369 consid. 2c ; arrêts du Tribunal fédéral 2C_853/2010 du 22 mars 2011 et 2C_581/2008 du 6 novembre 2008 consid. 4.1). Un étranger titulaire d'une autorisation d'établissement perd cette dernière s'il s'établit en France voisine et y vit comme un frontalier (ATA/1155/2018 du 30 octobre 2018 consid. 2a ; ATA/904/2014 du 18 novembre 2014).</w:t>
      </w:r>
    </w:p>
    <w:p>
      <w:r>
        <w:rPr>
          <w:b/>
        </w:rPr>
        <w:t>E. 6.5</w:t>
      </w:r>
    </w:p>
    <w:p>
      <w:r>
        <w:t>En l’espèce, le raisonnement de l’OCPM, tel que confirmé par le TAPI, doit être approuvé. Le recourant ne conteste pas le constat retenu par la chambre pénale d’appel et de révision dans son arrêt du 11 septembre 2012, eux-mêmes basés sur l’enquête effectuée par l’hospice, selon lequel il avait indûment perçu l’aide sociale entre 2000 et 2020 alors qu’il vivait en concubinage en France voisine, pas plus qu’il</w:t>
      </w:r>
    </w:p>
    <w:p>
      <w:r>
        <w:t>- 12/15 - A/2472/2018 n’a formé appel à l’encontre de sa condamnation de ce chef à l’époque. La chambre administrative peut donc considérer comme établi que le recourant ne résidait pas en Suisse entre 2000 et 2010. Au surplus, le recourant avait lui-même admis, dans le cadre de la procédure pénale, qu’il vivait en concubinage la moitié du temps avec sa compagne à cette période, domiciliée en France voisine, et qu’il était également titulaire du bail de leur logement. Il n’a apporté aucun élément au cours de la procédure devant l’OCPM, le TAPI ou la chambre administrative, susceptible d’infirmer ces constats. Dès lors qu’il est établi que le recourant a quitté la Suisse dès 2000, l’OCPM devait constater la caducité, par l’effet de la loi, de son autorisation d’établissement six mois après son départ, étant rappelé que le recourant ne conteste pas que ce départ n’a jamais été annoncé. La caducité de l’autorisation d’établissement est une conséquence stricte et automatique prévue par la loi, qui ne souffre pas d’exception.</w:t>
      </w:r>
    </w:p>
    <w:p>
      <w:r>
        <w:rPr>
          <w:b/>
        </w:rPr>
        <w:t>E. 6.6</w:t>
      </w:r>
    </w:p>
    <w:p>
      <w:r>
        <w:t>Le recourant n’a pas demandé sa réintégration et n’y aurait pas eu droit. L’art. 49 al. 1 OASA prévoit en effet que les étrangers qui ont déjà été en possession d’une autorisation de séjour ou d’établissement peuvent obtenir une autorisation de séjour ou de courte durée (a) si leur précédent séjour en Suisse a duré cinq ans au moins et n’était pas seulement de nature temporaire au sens de l’art. 34 al. 5 LEI, et (b) si leur libre départ de Suisse ne remonte pas à plus de deux ans. Or, la seconde de ces conditions n’ést pas remplie en l’espèce.</w:t>
      </w:r>
    </w:p>
    <w:p>
      <w:r>
        <w:rPr>
          <w:b/>
        </w:rPr>
        <w:t>E. 7</w:t>
      </w:r>
    </w:p>
    <w:p>
      <w:r>
        <w:t>Vu l’issue du litige, un émolument de CHF 400.- sera mis à la charge du recourant qui succombe (art. 87 LPA). Il ne sera pas alloué d’indemnité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