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ATA/621/2012 vom 17. September 2012</w:t>
      </w:r>
    </w:p>
    <w:p>
      <w:r>
        <w:t>GE Cour de justice, 2012-09-17, FR</w:t>
      </w:r>
    </w:p>
    <w:p>
      <w:r>
        <w:rPr>
          <w:b/>
        </w:rPr>
        <w:t xml:space="preserve">Quelle: </w:t>
      </w:r>
      <w:r>
        <w:t>https://mcp.opencaselaw.ch/entscheid/ge_gerichte_ATA_621_2012</w:t>
      </w:r>
    </w:p>
    <w:p>
      <w:r>
        <w:t>FR: GE_GERICHTE ATA/621/2012 du 17 septembre 2012</w:t>
      </w:r>
    </w:p>
    <w:p>
      <w:r>
        <w:t>IT: GE_GERICHTE ATA/621/2012 del 17 settembre 2012</w:t>
      </w:r>
    </w:p>
    <w:p>
      <w:pPr>
        <w:pStyle w:val="Heading2"/>
      </w:pPr>
      <w:r>
        <w:t>Erwägungen</w:t>
      </w:r>
    </w:p>
    <w:p>
      <w:r>
        <w:rPr>
          <w:b/>
        </w:rPr>
        <w:t>E. 1</w:t>
      </w:r>
    </w:p>
    <w:p>
      <w:r>
        <w:t>Le recours a été interjeté en temps utile devant la juridiction compétente (art. 15 al. 2 de l’accord intercantonal sur les marchés publics du 25 novembre 1994 - AIMP - L 6 05 ; art. 3 al. 1 de la loi autorisant le Conseil d’Etat à adhérer à l’accord intercantonal sur les marchés publics du 12 juin 1997 - L-AIMP - L 6 05.0 ; art. 131 et 132 de la loi sur l'organisation judiciaire du 26 septembre 2010 - LOJ - E 2 05 ; art. 62 al. 1 let. b de la loi sur la procédure administrative du 12 septembre 1985 - LPA - E 5 10).</w:t>
      </w:r>
    </w:p>
    <w:p>
      <w:r>
        <w:rPr>
          <w:b/>
        </w:rPr>
        <w:t>E. 2</w:t>
      </w:r>
    </w:p>
    <w:p>
      <w:r>
        <w:t>Aux termes des art. 17 al. 1 AIMP et 58 al. 1 du règlement sur la passation des marchés publics du 17 décembre 2007 (RMP - L 6 05.01), un tel recours n’a pas effet suspensif. Toutefois, l’autorité de recours peut, d’office ou sur demande, restituer l’effet suspensif, pour autant que le recours paraisse suffisamment fondé et qu’aucun intérêt public ou privé prépondérant ne s’y oppose (ATA/788/2011 du 23 décembre 2011).</w:t>
      </w:r>
    </w:p>
    <w:p>
      <w:r>
        <w:rPr>
          <w:b/>
        </w:rPr>
        <w:t>E. 3</w:t>
      </w:r>
    </w:p>
    <w:p>
      <w:r>
        <w:t>La restitution de l’effet suspensif s’accompagne en général de l’interdiction faite aux parties de conclure le contrat. En l’espèce, il résulte de la réponse du DU que non seulement le contrat a été conclu, mais que les travaux ont été réalisés et achevés en juillet 2012.</w:t>
      </w:r>
    </w:p>
    <w:p>
      <w:r>
        <w:t>Dès lors, la requête en restitution ou en octroi de l’effet suspensif est sans objet et la procédure devra se poursuivre au fond.</w:t>
      </w:r>
    </w:p>
    <w:p>
      <w:r>
        <w:t>- 3/3 -</w:t>
      </w:r>
    </w:p>
    <w:p>
      <w:r>
        <w:t>A/2535/2012</w:t>
      </w:r>
    </w:p>
    <w:p>
      <w:r>
        <w:t>Le DU disposant d’ores et déjà d’un délai au 28 septembre 2012 pour se déterminer sur le fond, de même que l’appelée en cause, le sort des frais de la présente décision sera réservé jusqu’à droit jugé au fond.</w:t>
      </w:r>
    </w:p>
    <w:p>
      <w:r>
        <w:rPr>
          <w:b/>
        </w:rPr>
        <w:t>E. 4</w:t>
      </w:r>
    </w:p>
    <w:p>
      <w:r>
        <w:t>vu l’art. 66 al. 2 de la loi sur la procédure administrative du 12 septembre 1985 (LPA - E 5 10) et l’art. 7 al. 1 du règlement de la chambre administrative du 21 décembre 2010 ;</w:t>
      </w:r>
    </w:p>
    <w:p>
      <w:r>
        <w:t>LA CHAMBRE ADMINISTRATIVE constate que la requête en restitution d’effet suspensif est sans objet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Ludovic Tirelli, avocat de la recourante, à Renggli AG, au département de l’urbanisme, ainsi qu’à Waldner S.A.,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