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ATA/620/2010 vom 7. September 2010</w:t>
      </w:r>
    </w:p>
    <w:p>
      <w:r>
        <w:t>GE Cour de justice, 2010-09-07, FR</w:t>
      </w:r>
    </w:p>
    <w:p>
      <w:r>
        <w:rPr>
          <w:b/>
        </w:rPr>
        <w:t xml:space="preserve">Quelle: </w:t>
      </w:r>
      <w:r>
        <w:t>https://mcp.opencaselaw.ch/entscheid/ge_gerichte_ATA_620_2010</w:t>
      </w:r>
    </w:p>
    <w:p>
      <w:r>
        <w:t>FR: GE_GERICHTE ATA/620/2010 du 7 septembre 2010</w:t>
      </w:r>
    </w:p>
    <w:p>
      <w:r>
        <w:t>IT: GE_GERICHTE ATA/620/2010 del 7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système de l'impôt à la source est ancré aux art. 83 ss LIFD pour l'impôt fédéral direct et aux art. 32 ss LHID; en relation avec l'art. 36 al. 1er let. a LHID),</w:t>
      </w:r>
    </w:p>
    <w:p>
      <w:r>
        <w:t>- 5/8 - A/2567/2006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1er LHID, 17 LISP). Le barème des retenues est établi d'après les taux de l'impôt sur le revenu des personnes physiques (art. 85 LIFD, 33 al. 1er LHID et 3 al. 1er LISP). Selon l'art. 86 LIFD, le barème tient compte des frais professionnels (art. 26) et des primes et cotisations d'assurances (art. 33 al. 1er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1er LIFD, 33 al. 3 LHID et 4 al. 1er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les pensions alimentaires et les contributions d’entretien ainsi que les frais de garde au sens et dans les limites admises par la législation cantonale (art. 4 RISP).</w:t>
      </w:r>
    </w:p>
    <w:p>
      <w:r>
        <w:rPr>
          <w:b/>
        </w:rPr>
        <w:t>E. 3</w:t>
      </w:r>
    </w:p>
    <w:p>
      <w:r>
        <w:t>Depuis l'arrêt du Tribunal fédéral 2C.319/2009, ce système ne peut toutefois plus être appliqué tel quel aux contribuables auxquels le statut de quasi-résidant doit être reconnu, soit les personnes domiciliées en France et réalisant en Suisse la quasi-totalité de leurs revenus. Un contribuable frontalier travaillant à Genève doit ainsi pouvoir faire valoir toutes les déductions accordées aux travailleurs qui résident dans le canton.</w:t>
      </w:r>
    </w:p>
    <w:p>
      <w:r>
        <w:rPr>
          <w:b/>
        </w:rPr>
        <w:t>E. 4</w:t>
      </w:r>
    </w:p>
    <w:p>
      <w:r>
        <w:t>Le 1er janvier 2010 est entrée en vigueur la loi sur l'imposition des personnes physiques du 27 septembre 2009 (LIPP - D 3 08), qui a remplacé notamment la loi sur l’imposition des personnes physiques - Objet de l’impôt - Assujettissement à l’impôt du 22 septembre 2000 (aLIPP- I - D 3 11),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w:t>
      </w:r>
    </w:p>
    <w:p>
      <w:r>
        <w:t>Les impôts relatifs aux périodes fiscales antérieures demeurent toutefois régis par les dispositions de l'ancien droit, même après l'entrée en vigueur de la novelle (art. 72 al. 1 LIPP).</w:t>
      </w:r>
    </w:p>
    <w:p>
      <w:r>
        <w:t>- 6/8 - A/2567/2006</w:t>
      </w:r>
    </w:p>
    <w:p>
      <w:r>
        <w:rPr>
          <w:b/>
        </w:rPr>
        <w:t>E. 5</w:t>
      </w:r>
    </w:p>
    <w:p>
      <w:r>
        <w:t>Le régime fiscal applicable aux personnes physiques sur la base des aLIPP I, IV et V est différent de celui instauré par la LISP, notamment s'agissant des déductions.</w:t>
      </w:r>
    </w:p>
    <w:p>
      <w:r>
        <w:t>Conformément à l’arrêt du Tribunal fédéral précité, il y a dès lors lieu de déterminer si le recourant, qui prétend être défavorisé par rapport à des contribuables suisses domiciliés et travaillant à Genève, peut être considéré comme un quasi-résidant et, dès lors, être taxé comme tel.</w:t>
      </w:r>
    </w:p>
    <w:p>
      <w:r>
        <w:rPr>
          <w:b/>
        </w:rPr>
        <w:t>E. 6</w:t>
      </w:r>
    </w:p>
    <w:p>
      <w:r>
        <w:t>Contrairement à ce que suggère l'AFC, cette détermination ne peut intervenir dans le cadre de l'instruction du recours pendant, sur la base d'éléments nouveaux que le contribuable devrait fournir à l’autorité de recours de dernière instance. Cela implique en effet de reprendre l'examen de son statut et de sa situation fiscaux ab initio, en respectant les droits qui lui sont accordés par la législation applicable en la matière, en particulier la loi de procédure fiscale du 4 octobre 2001 (art. 7 LPFisc - D 3 17) et la LPA, au nombre desquels figure le droit à un double degré de juridiction (ATA/419/2010 du 22 juin 2010 ; ATA/168/2008 du 8 avril 2008 ; ATA/163/2010 du 9 mars 2010 ; B. BOVAY, Procédure administrative, Berne 2000, p. 390-391).</w:t>
      </w:r>
    </w:p>
    <w:p>
      <w:r>
        <w:rPr>
          <w:b/>
        </w:rPr>
        <w:t>E. 7</w:t>
      </w:r>
    </w:p>
    <w:p>
      <w:r>
        <w:t>Au vu de ce qui précède, le recours sera partiellement admis. La décision de la commission sera annulée, de même que la décision du 30 juin 2010 de l'AFC. La cause sera renvoyée à cette dernière pour nouvelle décision dans le sens des considérants.</w:t>
      </w:r>
    </w:p>
    <w:p>
      <w:r>
        <w:t>Un émolument de CHF 500.- sera mis à la seule charge de l'AFC compte tenu de la solution retenue (art. 87 LPA et 11 al. 2 du règlement sur les frais, émoluments et indemnités en procédure administrative du 30 juillet 1986 - RFPA - E 5 10.03). Aucune indemnité ne sera allouée au recourant, qui plaide en personne et n'expose pas avoir encouru de frais particuliers pour la défense de ses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