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ATA/61/2018 vom 23. Januar 2018</w:t>
      </w:r>
    </w:p>
    <w:p>
      <w:r>
        <w:t>GE Cour de justice, 2018-01-23, FR</w:t>
      </w:r>
    </w:p>
    <w:p>
      <w:r>
        <w:rPr>
          <w:b/>
        </w:rPr>
        <w:t xml:space="preserve">Quelle: </w:t>
      </w:r>
      <w:r>
        <w:t>https://mcp.opencaselaw.ch/entscheid/ge_gerichte_ATA_61_2018</w:t>
      </w:r>
    </w:p>
    <w:p>
      <w:r>
        <w:t>FR: GE_GERICHTE ATA/61/2018 du 23 janvier 2018</w:t>
      </w:r>
    </w:p>
    <w:p>
      <w:r>
        <w:t>IT: GE_GERICHTE ATA/61/2018 del 23 gennaio 2018</w:t>
      </w:r>
    </w:p>
    <w:p>
      <w:pPr>
        <w:pStyle w:val="Heading2"/>
      </w:pPr>
      <w:r>
        <w:t>Erwägungen</w:t>
      </w:r>
    </w:p>
    <w:p>
      <w:r>
        <w:rPr>
          <w:b/>
        </w:rPr>
        <w:t>E. 12</w:t>
      </w:r>
    </w:p>
    <w:p>
      <w:r>
        <w:t>septembre 1985 - LPA - E 5 10). 2)</w:t>
      </w:r>
    </w:p>
    <w:p>
      <w:r>
        <w:t>Le recours porte sur la conformité au droit du jugement du TAPI confirmant la décision de l’autorité intimée refusant le renouvellement de l’autorisation de séjour de la recourante et prononçant son renvoi de Suisse.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a. Aux termes de l'art. 44 de la loi fédérale sur les étrangers du 16 décembre 2005 (LEtr - RS 142.20), l'autorité peut octroyer une autorisation de séjour au conjoint étranger du titulaire d'une autorisation de séjour aux conditions, cumulatives, énumérées dans cette disposition.</w:t>
      </w:r>
    </w:p>
    <w:p>
      <w:r>
        <w:t>Elle ne s’applique toutefois pas aux étrangers qui peuvent obtenir une autorisation de séjour pour regroupement familial directement en vertu de l’Accord du 21 juin 1999 entre la Confédération suisse, d'une part, et la Communauté européenne et ses Etats membres, d'autre part, sur la libre circulation des personnes (ALCP - RS 0.142.112.681).</w:t>
      </w:r>
    </w:p>
    <w:p>
      <w:r>
        <w:t>b. L’ALCP, entré en vigueur pour la Suisse le 1er juin 2002,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sont applicables aux ressortissants des pays membres de l’UE,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w:t>
      </w:r>
    </w:p>
    <w:p>
      <w:r>
        <w:t>c. En matière de regroupement familial, selon les art. 7 let. d ALCP et 3 al. 1 annexe 1 ALCP, les membres de la famille – parmi lesquels le conjoint (art. 3 al. 2 let. a annexe 1 ALCP) – d'une personne ressortissant d'une partie contractante</w:t>
      </w:r>
    </w:p>
    <w:p>
      <w:r>
        <w:t>- 6/12 - A/1976/2016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w:t>
      </w:r>
    </w:p>
    <w:p>
      <w:r>
        <w:t>En outre, le droit perdure aussi longtemps que le mariage n’est pas dissous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(ATA/1266/2017 du 12 septembre 2017, et les références citées).</w:t>
      </w:r>
    </w:p>
    <w:p>
      <w:r>
        <w:t>d. Après la dissolution de la famille, le droit du conjoint à l'octroi d'une autorisation de séjour et à la prolongation de sa durée de validité subsiste si l'union conjugale a duré au moins trois ans et que l'intégration est réussie (art. 50 al. 1 let. a LEtr).</w:t>
      </w:r>
    </w:p>
    <w:p>
      <w:r>
        <w:t>e. En l’espèce, l’union conjugale de la recourante n’existe plus que formellement depuis la séparation des époux, en 2015. L’intéressée ne peut se voir renouveler l’autorisation de séjour en application de l’art. 50 al. 1 let. a LEtr, la vie commune ayant duré moins de trente-six mois.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(ATA/1455/2017 du 31 octobre 2017 ainsi que les références citées).</w:t>
      </w:r>
    </w:p>
    <w:p>
      <w:r>
        <w:t>- 7/12 - A/1976/2016</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(ATA/1211/2017 du 22 août 2017 et les références citées).</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6) a. Au début de l’année 2017, le canton de Genève a développé un projet appelé « opération papyrus » visant à régulariser la situation des personnes non ressortissantes de l’Union européenne et de l’Association européenne de</w:t>
      </w:r>
    </w:p>
    <w:p>
      <w:r>
        <w:t>- 8/12 - A/1976/2016 libre-échange, bien intégrées. Les critères pour pouvoir bénéficier de cette opération sont les suivants : - séjour continu à Genève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21 décembre 2017] ; critères à respecter dans le cadre de Papyrus [disponible en ligne sur https://www.ge.ch/regulariser-mon-statut-sejour- cadre-papyrus/criteres-respecter, consulté le 21 décembre 2017]).</w:t>
      </w:r>
    </w:p>
    <w:p>
      <w:r>
        <w:t>b. Selon le document intitulé « critères et liste de documents requis » énumérant les pièces qui doivent être produites dans le cadre d’une demande de régularisation « papyrus » il est indiqué, concernant l’indépendance complète au niveau financier, que les documents suivants sont requis :</w:t>
      </w:r>
    </w:p>
    <w:p>
      <w:r>
        <w:t>- Attestation de non poursuite pour chaque adulte « ou documents attestant d’une procédure d’opposition » ou, pour les cas ne présentant pas plus de CHF 10'000.- de dettes, un plan de remboursement raisonnable et réaliste déjà initié, à savoir soit un accord avec les créanciers sur un plan de remboursement, soit, si un tel accord n’est pas possible, une attestation prouvant que l’étude où le traitement de la situation sont en cours par un service spécialisé dans le désendettement « Caritas, CSP, service communal, etc.), avec preuve des versements déjà effectués. Ces cas feront l’objet d’un suivi par les autorités cantonales en vue d’un contrôle effectif du remboursement. - Attestation de non-assistance de l’hospice (pour chaque adulte). - Justificatif de salaire.</w:t>
      </w:r>
    </w:p>
    <w:p>
      <w:r>
        <w:t>c. 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w:t>
      </w:r>
    </w:p>
    <w:p>
      <w:r>
        <w:t>- 9/12 - A/1976/2016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(ATA/681/2017 du 20 juin 2017 et les références citées). 7)</w:t>
      </w:r>
    </w:p>
    <w:p>
      <w:r>
        <w:t>En l’espèce, il est établi que la recourante est arrivée en Suisse en étant au bénéfice d’un permis de séjour pour études en 2003 et qu’elle y séjourne depuis lors, en ayant été quelques années dans la clandestinité puis en ayant été mise au bénéfice d’un permis de séjour pour regroupement familial.</w:t>
      </w:r>
    </w:p>
    <w:p>
      <w:r>
        <w:t>À juste titre, l’autorité intimée reconnaît que son intégration sociale est réussie, et qu’elle a développé un large réseau de connaissances et d’amis à Genève, ce que les pièces produites démontrent et confirment.</w:t>
      </w:r>
    </w:p>
    <w:p>
      <w:r>
        <w:t>Professionnellement, l’intéressée démontre qu’elle a toujours eu un emploi et été indépendante financièrement. Elle a accumulé des dettes, que l’on peut admettre être en lien avec ses déboires conjugaux, et elle a mis en œuvre un plan de désendettement efficace avec l’aide du CSP, ce qui est aussi admis par l’autorité intimée.</w:t>
      </w:r>
    </w:p>
    <w:p>
      <w:r>
        <w:t>S’agissant de l’attestation d’aide financière de l’hospice, les explications données par la recourante, confirmées par son époux, sont crédibles. On imagine difficilement que l’intéressée ait pu obtenir une aide financière pour elle-même alors même qu’elle avait des revenus suffisants.</w:t>
      </w:r>
    </w:p>
    <w:p>
      <w:r>
        <w:t>Selon le dossier, l’intéressée n’a pas d’antécédents pénaux.</w:t>
      </w:r>
    </w:p>
    <w:p>
      <w:r>
        <w:t>Les éléments ressortant notamment du certificat médical qu’elle a produit permettent d’admettre que sa réintégration au Brésil serait sans doute difficile même si, à lui seul, cet élément ne serait pas suffisant pour constituer un cas de rigueur. 8)</w:t>
      </w:r>
    </w:p>
    <w:p>
      <w:r>
        <w:t>Au vu de l’ensemble de ces circonstances, la chambre administrative admettra que la poursuite du séjour de l’intéressée en Suisse s’impose pour des raisons personnelles majeures, au sens de l’art. 50 al. 1 let. b LEtr, qu’il appartenait tant à l’OCPM qu’au TAPI de reconnaître et de prendre en compte.</w:t>
      </w:r>
    </w:p>
    <w:p>
      <w:r>
        <w:t>C’est dès lors à tort que l’OCPM a refusé la prolongation du séjour de la recourante, une telle prolongation devant lui être accordée.</w:t>
      </w:r>
    </w:p>
    <w:p>
      <w:r>
        <w:t>Le recours sera ainsi admis et le dossier renvoyé à l’OCPM pour nouvelle décision au sens des considérants.</w:t>
      </w:r>
    </w:p>
    <w:p>
      <w:r>
        <w:t>- 10/12 - A/1976/2016 9)</w:t>
      </w:r>
    </w:p>
    <w:p>
      <w:r>
        <w:t>Vu l’issue du litige, aucun émolument ne sera perçu au sens de l’art. 87 al. 1 LPA. Une indemnité de procédure de CHF 1'000.- sera allouée à la recourante, qui y a conclu au sens de l’art.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