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ATA/613/2025 vom 3. Juni 2025</w:t>
      </w:r>
    </w:p>
    <w:p>
      <w:r>
        <w:t>GE Cour de justice, 2025-06-03, FR</w:t>
      </w:r>
    </w:p>
    <w:p>
      <w:r>
        <w:rPr>
          <w:b/>
        </w:rPr>
        <w:t xml:space="preserve">Quelle: </w:t>
      </w:r>
      <w:r>
        <w:t>https://mcp.opencaselaw.ch/entscheid/ge_gerichte_ATA_613_2025</w:t>
      </w:r>
    </w:p>
    <w:p>
      <w:r>
        <w:t>FR: GE_GERICHTE ATA/613/2025 du 3 juin 2025</w:t>
      </w:r>
    </w:p>
    <w:p>
      <w:r>
        <w:t>IT: GE_GERICHTE ATA/613/2025 del 3 giugno 2025</w:t>
      </w:r>
    </w:p>
    <w:p>
      <w:pPr>
        <w:pStyle w:val="Heading2"/>
      </w:pPr>
      <w:r>
        <w:t>Erwägungen</w:t>
      </w:r>
    </w:p>
    <w:p>
      <w:r>
        <w:rPr>
          <w:b/>
        </w:rPr>
        <w:t>E. 7</w:t>
      </w:r>
    </w:p>
    <w:p>
      <w:r>
        <w:t>Vu l’issue du litige, un émolument de CHF 500.- sera mis à la charge du recourant, qui ne peut se voir allouer une indemnité de procédure (art. 87 LPA). En tant que le recours visait la conclusion d’un contrat de travail d’une durée d’un an, la valeur litigieuse au sens de l’art. 85 al. 1 let. b de la loi fédérale sur le Tribunal fédéral du 17 juin 2005 (LTF - RS 173.110) est supérieure à CHF 15'000.-.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