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ATA/613/2023 vom 9. Juni 2023</w:t>
      </w:r>
    </w:p>
    <w:p>
      <w:r>
        <w:t>GE Cour de justice, 2023-06-09, FR</w:t>
      </w:r>
    </w:p>
    <w:p>
      <w:r>
        <w:rPr>
          <w:b/>
        </w:rPr>
        <w:t xml:space="preserve">Quelle: </w:t>
      </w:r>
      <w:r>
        <w:t>https://mcp.opencaselaw.ch/entscheid/ge_gerichte_ATA_613_2023</w:t>
      </w:r>
    </w:p>
    <w:p>
      <w:r>
        <w:t>FR: GE_GERICHTE ATA/613/2023 du 9 juin 2023</w:t>
      </w:r>
    </w:p>
    <w:p>
      <w:r>
        <w:t>IT: GE_GERICHTE ATA/613/2023 del 9 giugno 2023</w:t>
      </w:r>
    </w:p>
    <w:p>
      <w:pPr>
        <w:pStyle w:val="Heading2"/>
      </w:pPr>
      <w:r>
        <w:t>Erwägungen</w:t>
      </w:r>
    </w:p>
    <w:p>
      <w:r>
        <w:rPr>
          <w:b/>
        </w:rPr>
        <w:t>E. 26</w:t>
      </w:r>
    </w:p>
    <w:p>
      <w:r>
        <w:t>mai 2020, à teneur duquel les décisions sur effet suspensif sont prises par la présidente de ladite chambre, respectivement par la vice-présidente, ou en cas d'empêchement de celles-ci, par un juge ; aux termes de l'art. 66 de la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par ailleurs, l'art. 21 al. 1 LPA permet le prononcé de mesures provisionnelles ; selon la jurisprudence constante de la chambre administrative, des mesures provisionnelles ne sont légitimes que si elles s'avèrent indispensables au maintien d'un état de fait ou à la sauvegarde d'intérêts compromis (ATF 119 V 503 consid. 3 ; ATA/1043/2020 du 19 octobre 2020 ; ATA/303/2020 du 19 mars 2020 ; ATA/503/2018 du 23 mai 2018) ; elles ne sauraient, en principe, anticiper le jugement définitif (Isabelle HÄNER, Vorsorgliche Massnahmen in Verwaltungsverfahren und Verwaltungsprozess in RDS 1997 II 253-420, 265) ni équivaloir à une condamnation provisoire sur le fond, pas plus qu’aboutir abusivement à rendre d’emblée illusoire la portée du procès au fond (arrêts précités) ;</w:t>
      </w:r>
    </w:p>
    <w:p>
      <w:r>
        <w:t>- 5/7 - A/4393/2022 ainsi, dans la plupart des cas, les mesures provisionnelles consistent en un minus, soit une mesure moins importante ou incisive que celle demandée au fond, ou en un aliud, soit une mesure différente de celle demandée au fond (Isabelle HÄNER, ibidem) ; par ailleurs, l'octroi de mesures provisionnelles présuppose l'urgence, à savoir que le refus de les ordonner crée pour l'intéressé la menace d'un dommage difficile à réparer (ATF 130 II 149 consid. 2.2 ; 127 II 132 consid. 3) ; lors de l'octroi de mesures provisionnelles, l'autorité de recours dispose d'un large pouvoir d'appréciation qui varie selon la nature de l'affaire (arrêt du Tribunal fédéral 2C_1161/2013 du 27 février 2014 consid. 5.5.1) ;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(ATA/444/2023 du 26 avril 2023 consid. 3.1).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(ATA/812/2021 du 10 août 2021 consid. 2a ; ATA/1493/2019 précité consid. 3b). en l’espèce, la question de la recevabilité du recours doit être tranchée en premier lieu et dépend indubitablement de l’issue qui sera donnée par le Tribunal fédéral au recours déposé contre l’arrêt d’irrecevabilité de la CPR du 15 décembre 2022 ; autrement dit, ce n’est qu’à l’issue de cette procédure que le Tribunal fédéral aura déterminé qui, de la chambre de céans ou de la CPR, doit trancher au fond ce qui a été considéré par l’OCPM comme une demande de reconsidération de sa décision de refus de reporter l'exécution de son expulsion du 5 février 2020, entrée en force ; le sort de la présente procédure dépend donc de l’arrêt du Tribunal fédéral à venir dans la cause 6B_87/2023 ;</w:t>
      </w:r>
    </w:p>
    <w:p>
      <w:r>
        <w:t>- 6/7 - A/4393/2022 la présidente du Tribunal fédéral a, par ordonnance du 13 février 2023, partiellement admis la requête de mesures provisionnelles du recourant et ordonné aux autorités cantonales compétentes de surseoir à son expulsion pénale jusqu’à droit jugé devant lui, rejetant la requête pour le surplus ; il n’y a ainsi aucune urgence ni nécessité de sauvegarde d'intérêts compromis, tels que requise pour le prononcé de mesures provisionnelles ; de telles mesures peuvent être demandées en tout temps et il appartiendra au recourant, une fois en possession de l’arrêt du Tribunal fédéral, de déposer soit devant la CPR, soit la chambre de céans, s’il l’estime nécessaire, une requête visant au prononcé de telles mesures ; au vu de ce qui précède, la suspension de la présente procédure sera ordonnée jusqu’à droit connu dans la cause 6B_87/2023 devant le Tribunal fédéral et le prononcé de mesures provisionnelles refusé ; le sort des frais afférents à la présente décision est réservé.</w:t>
      </w:r>
    </w:p>
    <w:p>
      <w:r>
        <w:t>LA CHAMBRE ADMINISTRATIVE prononce la suspension de la procédure ; invite la partie la plus diligente, à lui transmettre, à réception, l’arrêt du Tribunal fédéral à venir dans la cause 6B_87/2023 ; refuse le prononcé de mesures provisionnelles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Guglielmo PALUMBO, avocat du recourant, à l'office cantonal de la population et des migrations, au Tribunal administratif de première instance ainsi qu’au secrétariat d’État aux migrations.</w:t>
      </w:r>
    </w:p>
    <w:p>
      <w:r>
        <w:t>La vice-présidente :</w:t>
      </w:r>
    </w:p>
    <w:p>
      <w:r>
        <w:t>- 7/7 - A/4393/2022 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