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ATA/613/2020 vom 23. Juni 2020</w:t>
      </w:r>
    </w:p>
    <w:p>
      <w:r>
        <w:t>GE Cour de justice, 2020-06-23, FR</w:t>
      </w:r>
    </w:p>
    <w:p>
      <w:r>
        <w:rPr>
          <w:b/>
        </w:rPr>
        <w:t xml:space="preserve">Quelle: </w:t>
      </w:r>
      <w:r>
        <w:t>https://mcp.opencaselaw.ch/entscheid/ge_gerichte_ATA_613_2020</w:t>
      </w:r>
    </w:p>
    <w:p>
      <w:r>
        <w:t>FR: GE_GERICHTE ATA/613/2020 du 23 juin 2020</w:t>
      </w:r>
    </w:p>
    <w:p>
      <w:r>
        <w:t>IT: GE_GERICHTE ATA/613/2020 del 23 giugno 2020</w:t>
      </w:r>
    </w:p>
    <w:p>
      <w:pPr>
        <w:pStyle w:val="Heading2"/>
      </w:pPr>
      <w:r>
        <w:t>Regeste</w:t>
      </w:r>
    </w:p>
    <w:p>
      <w:r>
        <w:t>Résumé: Recours d’un ressortissant libanais contre le refus de l’office cantonal de la population et des migrations (OCPM), confirmé par le Tribunal administratif de première instance (TAPI), de lui délivrer une autorisation de séjour en vue de son mariage avec une Suissesse. Compte tenu de sa condamnation à une peine de cinq ans de réclusion pour infraction à la LStup, ce refus se justifiait même si cette condamnation remontait à plusieurs années. Le recourant avait en effet multiplié les infractions à la LCR et montré un mépris certain pour les décisions des autorités. Le renvoi étant possible, licite et raisonnablement exigible, le recours est rejeté.</w:t>
      </w:r>
    </w:p>
    <w:p>
      <w:pPr>
        <w:pStyle w:val="Heading2"/>
      </w:pPr>
      <w:r>
        <w:t>Erwägungen</w:t>
      </w:r>
    </w:p>
    <w:p>
      <w:r>
        <w:rPr>
          <w:b/>
        </w:rPr>
        <w:t>E. 12</w:t>
      </w:r>
    </w:p>
    <w:p>
      <w:r>
        <w:t>septembre 1985 - LPA - E 5 10). 2)</w:t>
      </w:r>
    </w:p>
    <w:p>
      <w:r>
        <w:t>Le litige porte sur la conformité au droit, d’une part, du refus de l’intimé d'autoriser le recourant à séjourner en Suisse durant la procédure de demande d'autorisation de séjour en vue de son mariage avec une ressortissante suisse et, d’autre part, du prononcé de son renvoi. 3)</w:t>
      </w:r>
    </w:p>
    <w:p>
      <w:r>
        <w:t>Le recourant sollicite son audition ainsi que celles de Mme D______, de l’avocat libanais auteur de la déclaration du 14 juin 2019 et d’autres témoins dont il ne précise toutefois pas les identités.</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w:t>
      </w:r>
    </w:p>
    <w:p>
      <w:r>
        <w:t>b. En l'espèce, l’audition du recourant et des témoins n’est pas utile à la résolution du litige. Celui-là a plusieurs fois eu l’occasion, au cours de la présente procédure ou au cours d’autres procédures dont les actes figurent au dossier, à travers ses nombreuses écritures et les pièces qui les accompagnaient, de fournir toutes les explications sur sa situation personnelle, les raisons pour lesquelles il souhaitait rester en Suisse et ne voulait pas retourner au Liban. La chambre de céans est en conséquence en mesure de trancher le litige en toute connaissance de cause.</w:t>
      </w:r>
    </w:p>
    <w:p>
      <w:r>
        <w:t>Il ne sera pas donné suite aux demandes d’audition.</w:t>
      </w:r>
    </w:p>
    <w:p>
      <w:r>
        <w:t>- 12/19 - A/2065/2019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2C_841/2019 du 11 octobre 2019 consid. 3 ; 2C_737/2019 du 27 septembre 2019 consid. 4.1).</w:t>
      </w:r>
    </w:p>
    <w:p>
      <w:r>
        <w:t>En l’espèce, la demande d’autorisation de séjour en vue de contracter le mariage litigieux a été déposée le 15 novembre 2016, de sorte que c’est l’ancien droit, soit la LEI dans sa teneur avant le 1er janvier 2019, qui s’applique.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Liban. 7) a. Selon l’art. 17 LEI, dont la teneur était la même au moment du dépôt de sa requête par le recourant,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w:t>
      </w:r>
    </w:p>
    <w:p>
      <w:r>
        <w:t>b. À teneur de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- 13/19 - A/2065/2019 8) a. Le droit au mariage est garanti par les art. 12 CEDH, 14 Cst. et 22 de la Constitution de la République et canton de Genève du 14 octobre 2012 (Cst-GE - A 2 00).</w:t>
      </w:r>
    </w:p>
    <w:p>
      <w:r>
        <w:t>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w:t>
      </w:r>
    </w:p>
    <w:p>
      <w:r>
        <w:rPr>
          <w:b/>
        </w:rPr>
        <w:t>E. 14</w:t>
      </w:r>
    </w:p>
    <w:p>
      <w:r>
        <w:t>Cst. un droit à pouvoir séjourner en Suisse en vue de s’y marier (ATF 137 I 351 consid 3.5, confirmé par l’ATF 138 I 41 consid. 2). Se basant sur l’art. 17 LEI, le Tribunal fédéral a précisé les conditions à la délivrance d’une autorisation de séjour en vue du mariage dans de tels cas de figure :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w:t>
      </w:r>
    </w:p>
    <w:p>
      <w:r>
        <w:t>- 14/19 - A/2065/2019 mariage (ATF 139 I 37 consid. 3.5.2 et les arrêts cités ; arrêt du Tribunal fédéral 2C_585/2018 du 14 janvier 2019 consid. 3.1 et les arrêts cités).</w:t>
      </w:r>
    </w:p>
    <w:p>
      <w:r>
        <w:t>d. La chambre administrative a également déjà confirmé que la délivrance d'une autorisation de séjour en vue de mariage doit s'accompagner, à titre préjudiciel, d'un examen des conditions posées au regroupement familial du futur conjoint (ATA/80/2018 du 30 janvier 2018 consid. 4d et l’arrêt cité). 9) a. S’agissant du regroupement familial, l’art. 42 al. 1 LEI prévoit que le conjoint d’un ressortissant suisse ainsi que ses enfants célibataires de moins de</w:t>
      </w:r>
    </w:p>
    <w:p>
      <w:r>
        <w:rPr>
          <w:b/>
        </w:rPr>
        <w:t>E. 18</w:t>
      </w:r>
    </w:p>
    <w:p>
      <w:r>
        <w:t>ans ont droit à l’octroi d’une autorisation de séjour et à la prolongation de sa durée de validité à condition de vivre en ménage commun avec lui. Toutefois, les droits prévus à l’art. 42 LEI s’éteignent s’ils sont invoqués abusivement, notamment pour éluder les dispositions de la LEI sur l’admission et le séjour ou ses dispositions d’exécution, ou encore s’il existe des motifs de révocation au sens de l’art. 63 LEI (art. 51 al. 1 let. a et b LEI).</w:t>
      </w:r>
    </w:p>
    <w:p>
      <w:r>
        <w:t>b. Aux termes de l’art. 63 al. 1 LEI, l’autorisation d’établissement d’un étranger peut être révoquée notamment si les conditions visées à l'art. 62 al. 1 let. a ou b LEI sont remplies (let. a) – soit si l'étranger ou son représentant légal a fait de fausses déclarations ou a dissimulé des faits essentiels durant la procédure d'autorisation ou si l'étranger a été condamné à une peine privative de liberté de longue durée ou a fait l'objet d'une mesure pénale prévue aux art. 59 à 61 ou 64 du Code pénal suisse du 21 décembre 1937 (CP - RS 311.0) – ou si l'étranger attente de manière très grave à la sécurité et à l'ordre publics en Suisse ou à l'étranger, les met en danger ou représente une menace pour la sécurité intérieure ou extérieure de la Suisse (let. b).</w:t>
      </w:r>
    </w:p>
    <w:p>
      <w:r>
        <w:t>c.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d. 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 ATA/80/2018 précité consid. 6c). Selon la jurisprudence du Tribunal fédéral, les infractions à la LStup constituent une atteinte grave à l’ordre et à la sécurité publics, au vu des ravages de la drogue dans la population, et spécialement auprès des jeunes et des personnes socialement fragilisées. C’est pourquoi il se justifie de se montrer particulièrement rigoureux à l’égard des personnes ayant commis des crimes ou</w:t>
      </w:r>
    </w:p>
    <w:p>
      <w:r>
        <w:t>- 15/19 - A/2065/2019 des délits graves en matière de trafic de drogue (ATF 125 II 521 consid. 4a ; arrêt du Tribunal fédéral 2A.532/2001 du 6 mars 2002 consid. 5.1).</w:t>
      </w:r>
    </w:p>
    <w:p>
      <w:r>
        <w:t>e. Dans le cas d’espèce, le recourant a été condamné en 2002 à une peine de cinq ans de réclusion, soit à une peine de longue durée. Certes, cette condamnation remonte à plusieurs années. Elle a toutefois été prononcée en raison d’une infraction à la LStup, ce qui justifie de se montrer particulièrement rigoureux à l’égard du recourant dès lors qu’il a porté une atteinte grave à l’ordre et à la sécurité publics. Cette rigueur se justifie d’autant qu’il n’a pas cessé depuis lors d’occuper la justice et les services de police pour des infractions aux règles de la circulation routière, comportement qui ne témoigne pas du plus grand respect pour l’intégrité physique des autres usagers de la route. Pour le reste, le recourant, consommateur régulier de cocaïne, a montré un mépris certain pour les décisions des autorités suisses le concernant en s’obstinant à demeurer dans ce pays en toute illégalité sans être, au surplus, en mesure de justifier de son identité au moyen d’un passeport. Dans ces conditions, et sans qu’il soit nécessaire de se prononcer sur la réalité des intentions de mariage du recourant, il n’apparaît pas que, une fois marié, il pourra être autorisé à séjourner en Suisse, pays dans lequel il n’indique pas avoir des membres de sa famille.</w:t>
      </w:r>
    </w:p>
    <w:p>
      <w:r>
        <w:t>Compte tenu de son comportement, l’intérêt public à l’éloignement du recourant prime son intérêt privé à rester en Suisse dans l’attente d’une décision dont l’issue est plus que compromise. L’intimé était donc fondé, sans excéder ou abuser de son pouvoir d’appréciation, à refuser qu’il attende en Suisse l’issue de sa demande d’autorisation de séjour. C’est également à juste titre que le TAPI a confirmé la décision litigieuse.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(ATA/1798/2019 du 10 décembre 2019 consid. 6 et les arrêts cités).</w:t>
      </w:r>
    </w:p>
    <w:p>
      <w:r>
        <w:t>b. En l’espèce, dès lors qu’il a, à juste titre, refusé l’octroi d’une autorisation de séjour au recourant, l’intimé devait prononcer son renvoi. 11) a. Le recourant fait toutefois valoir qu’il s’expose, notamment en raison de ses origines palestiniennes et de la situation de grande confusion régnant au Liban, à de grands dangers en cas de retour dans ce pays. Il a versé à la procédure, devant la chambre de céans, une attestation d’un avocat libanais qui confirme ses dires. Le recourant serait empêché d’exercer toute activité économique au Liban où il ferait l’objet de menaces mettant sa vie en danger. Il a, plus récemment, également versé à la procédure la déclaration d’un élu local libanais qui souligne les difficultés pour un citoyen libanais d’obtenir une protection de la part de son</w:t>
      </w:r>
    </w:p>
    <w:p>
      <w:r>
        <w:t>- 16/19 - A/2065/2019 pays et qui précise que le recourant risque la prison en cas de retour au Liban. Le recourant se réfère également aux risques liés à la Covid-19.</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En l’espèce, tant l’attestation de l’avocat que la déclaration de l’élu libanais sont rédigées dans des termes génériques. S’agissant des risques qu’il prétend encourir dans son pays d’origine, le recourant a eu l’occasion de déposer deux demandes d’asile en Suisse. Sa première demande a été rejetée et la seconde a fait l’objet d’un refus d’entrée en matière. Dans le cadre de la présente procédure, il ne démontre pas qu’il serait plus exposé que ses compatriotes à des dangers en se rendant au Liban, pays dans lequel il a de la famille.</w:t>
      </w:r>
    </w:p>
    <w:p>
      <w:r>
        <w:t>S’agissant de la Covid-19, le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(ATA/598/2020 du 16 juin 2020 consid. 9).</w:t>
      </w:r>
    </w:p>
    <w:p>
      <w:r>
        <w:t>Il découle de ce qui précède que le recours sera rejeté. 12) Vu l’issue du litige, un émolument de CHF 550.-, tenant compte de la décision sur effet suspensif et mesures provisionnelles, sera mis à la charge du recourant, qui succombe (art. 87 al. 1 LPA) et il ne sera pas alloué d’indemnité de procédure (art. 87 al. 2 LPA).</w:t>
      </w:r>
    </w:p>
    <w:p>
      <w:r>
        <w:t>* * * * *</w:t>
      </w:r>
    </w:p>
    <w:p>
      <w:r>
        <w:t>- 17/19 - A/2065/2019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