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ATA/613/2013 vom 17. September 2013</w:t>
      </w:r>
    </w:p>
    <w:p>
      <w:r>
        <w:t>GE Cour de justice, 2013-09-17, FR</w:t>
      </w:r>
    </w:p>
    <w:p>
      <w:r>
        <w:rPr>
          <w:b/>
        </w:rPr>
        <w:t xml:space="preserve">Quelle: </w:t>
      </w:r>
      <w:r>
        <w:t>https://mcp.opencaselaw.ch/entscheid/ge_gerichte_ATA_613_2013</w:t>
      </w:r>
    </w:p>
    <w:p>
      <w:r>
        <w:t>FR: GE_GERICHTE ATA/613/2013 du 17 septembre 2013</w:t>
      </w:r>
    </w:p>
    <w:p>
      <w:r>
        <w:t>IT: GE_GERICHTE ATA/613/2013 del 17 settembre 2013</w:t>
      </w:r>
    </w:p>
    <w:p>
      <w:pPr>
        <w:pStyle w:val="Heading2"/>
      </w:pPr>
      <w:r>
        <w:t>Regeste</w:t>
      </w:r>
    </w:p>
    <w:p>
      <w:r>
        <w:t>Résumé: L'étranger souhaitant être naturalisé doit remplir un certain nombre de conditions, dont l'intégration dans la communauté suisse et l'adaptation au mode de vie local font partie. L'apprentissage de la langue nationale parlée sur le lieu de domicile constitue l'un des aspects de l'intégration. Bien que le requérant ait respecté les exigences du service cantonal des naturalisations en matière de connaissance de la langue française, son intégration dans la communauté genevoise au sens large est insuffisante dès lors que son réseau de relations, tant amicales que professionnelles, est essentiellement composé de personnes originaires de pays arabophones et qu'il ne prend que très peu part à la vie sociale, culturelle et politique suisse. La question ne se pose en aucun cas sous l'angle religieux ou confessionnel, mais bien sous celui de la langue, de la culture et du mode de vie.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allègue la violation de son droit d'être entendu par la commission des naturalisations de la commune du Grand-Saconnex ayant rendu un préavis brièvement motivé sans qu'il n'ait pu s'exprimer au sujet des circonstances de son licenciement.</w:t>
      </w:r>
    </w:p>
    <w:p>
      <w:r>
        <w:rPr>
          <w:b/>
        </w:rPr>
        <w:t>E. 3</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5A 846/2011 du 26 juin 2012;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w:t>
      </w:r>
    </w:p>
    <w:p>
      <w:r>
        <w:t>- 9/15 - A/3917/2012 p. 509 n. 1526 ; A. AUER/ G. MALINVERNI/ M. HOTTELIER, Droit constitutionnel suisse, 2006, Vol. 2, 2ème éd., p. 603 n. 1315 ss).</w:t>
      </w:r>
    </w:p>
    <w:p>
      <w:r>
        <w:t>Quant à l'art. 6 § 1 de la Convention de sauvegarde des droits de l’homme et des libertés fondamentales (CEDH – RS 0.101),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w:t>
      </w:r>
    </w:p>
    <w:p>
      <w:r>
        <w:t>Le droit d’être entendu comprend en outre le droit d’obtenir une décision motivée (ATF 138 I 232 consid. 5.1 p. 237;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137 II 266 consid. 3.2 p. 270; 136 V 351 consid. 4.2 p. 355 et les références citées; T. TANQUEREL, Manuel de droit administratif, op. cit., p. 521 n. 1573). Il suffit, de ce point de vue, que les parties puissent se rendre compte de la portée de la décision prise à leur égard et, le cas échéant, recourir contre elle en connaissance de cause (ATF 138 I 232 consid. 5.1 p. 237; 136 I 184 consid. 2.2.1 p. 188; ATA/268/2012 du 8 mai 2012 ; P. TSCHANNEN/ U. ZIMMERLI, Allgemeines Verwaltungsrecht, 3ème éd., 2009, p. 257 ; P. MOOR/E. POLTIER, Droit administratif, vol. 2, 3ème éd., 2011, p. 348ss, n. 2.2.8.3).</w:t>
      </w:r>
    </w:p>
    <w:p>
      <w:r>
        <w:rPr>
          <w:b/>
        </w:rPr>
        <w:t>E. 4</w:t>
      </w:r>
    </w:p>
    <w:p>
      <w:r>
        <w:t>En l'espèce, force est de constater que le recourant a eu l'occasion de faire valoir son point de vue sur tous les faits de nature à influer sur la décision du Conseil d'Etat, tant oralement que par écrit, ce tout au long de la procédure de naturalisation.</w:t>
      </w:r>
    </w:p>
    <w:p>
      <w:r>
        <w:t>Bien que le sujet ait été mentionné dans le rapport du SCN du 6 août 2012, ni le licenciement du recourant par la Fondation culturelle islamique de Genève en août 2011, ni ses circonstances n'ont été pris en considération pour fonder le préavis de la commission des naturalisations, qui n'était ainsi pas tenue de l'entendre à ce propos. Il sied au surplus de relever que le Conseil d'Etat n'a lui non plus pas tenu compte, ni même fait mention des évènements précités dans son</w:t>
      </w:r>
    </w:p>
    <w:p>
      <w:r>
        <w:t>- 10/15 - A/3917/2012 arrêté du 21 novembre 2012. Cette question ne saurait dès lors être qualifiée de décisive dans le refus d'accorder au recourant la nationalité suisse et genevoise.</w:t>
      </w:r>
    </w:p>
    <w:p>
      <w:r>
        <w:t>Enfin, la commission des naturalisations, qui n'est au demeurant pas l'autorité décisionnaire, a, certes brièvement, mais tout de même motivé son préavis défavorable par l'insuffisance de résultats obtenus par le recourant aux questions du protocole « B » pour l'intégration, rejoignant au surplus les conclusions du rapport d'enquête du 6 août 2012.</w:t>
      </w:r>
    </w:p>
    <w:p>
      <w:r>
        <w:t>Partant, le droit d'être entendu du recourant a été respecté et ce grief est mal fondé.</w:t>
      </w:r>
    </w:p>
    <w:p>
      <w:r>
        <w:rPr>
          <w:b/>
        </w:rPr>
        <w:t>E. 5</w:t>
      </w:r>
    </w:p>
    <w:p>
      <w:r>
        <w:t>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w:t>
      </w:r>
    </w:p>
    <w:p>
      <w:r>
        <w:t>L'art. 14 LN, intitulé « aptitude », a la teneur suivante :</w:t>
      </w:r>
    </w:p>
    <w:p>
      <w:r>
        <w:t>«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w:t>
      </w:r>
    </w:p>
    <w:p>
      <w:r>
        <w:t>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C- 1280/2009 du 11 juin 2010).</w:t>
      </w:r>
    </w:p>
    <w:p>
      <w:r>
        <w:rPr>
          <w:b/>
        </w:rPr>
        <w:t>E. 6</w:t>
      </w:r>
    </w:p>
    <w:p>
      <w:r>
        <w:t>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12-15 LN).</w:t>
      </w:r>
    </w:p>
    <w:p>
      <w:r>
        <w:t>D'autre part, le requérant doit avoir résidé deux ans dans le canton d'une manière effective, dont les douze mois précédant l'introduction de sa demande et</w:t>
      </w:r>
    </w:p>
    <w:p>
      <w:r>
        <w:t>- 11/15 - A/3917/2012 résider en Suisse pendant la procédure de naturalisation (art. 11 al. 1 et 3 LNat).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publiques ; f. s'être intégré dans la communauté genevoise, et respecter la déclaration des droits individuels fixée dans la Constitution de la République et canton de Genève du 24 mai 1847 (Cst-GE - A 2 00).</w:t>
      </w:r>
    </w:p>
    <w:p>
      <w:r>
        <w:t>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w:t>
      </w:r>
    </w:p>
    <w:p>
      <w:r>
        <w:t>Le requérant prête ensuite publiquement serment devant le Conseil d'Etat, date à laquelle la naturalisation prend effet (art. 24 al. 3 let. a LNat).</w:t>
      </w:r>
    </w:p>
    <w:p>
      <w:r>
        <w:rPr>
          <w:b/>
        </w:rPr>
        <w:t>E. 7</w:t>
      </w:r>
    </w:p>
    <w:p>
      <w:r>
        <w:t>La condition de l'intégration dans la communauté suisse est établie aux art. 14 let. a LN et 12 let. a et f LNat.</w:t>
      </w:r>
    </w:p>
    <w:p>
      <w:r>
        <w:t>La loi fédérale sur les étrangers du 16 décembre 2005 (LEtr - RS 142.20) et l'ordonnance du 24 octobre 2007 sur l’intégration des étrangers (OIE - RS 142.205) précisent la notion d'intégration.</w:t>
      </w:r>
    </w:p>
    <w:p>
      <w:r>
        <w:t>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w:t>
      </w:r>
    </w:p>
    <w:p>
      <w:r>
        <w:t>- 12/15 - A/3917/2012 égard (al. 3). Il est indispensable que les étrangers se familiarisent avec la société et le mode de vie en Suisse et, en particulier, qu’ils apprennent une langue nationale (al. 4).</w:t>
      </w:r>
    </w:p>
    <w:p>
      <w:r>
        <w:t>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w:t>
      </w:r>
    </w:p>
    <w:p>
      <w:r>
        <w:rPr>
          <w:b/>
        </w:rPr>
        <w:t>E. 8</w:t>
      </w:r>
    </w:p>
    <w:p>
      <w:r>
        <w:t>L’art. 8 al. 2 Cst.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w:t>
      </w:r>
    </w:p>
    <w:p>
      <w:r>
        <w:t>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w:t>
      </w:r>
    </w:p>
    <w:p>
      <w:r>
        <w:rPr>
          <w:b/>
        </w:rPr>
        <w:t>E. 9</w:t>
      </w:r>
    </w:p>
    <w:p>
      <w:r>
        <w:t>La question de l’apprentissage et de la connaissance de la langue locale a été traitée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w:t>
      </w:r>
    </w:p>
    <w:p>
      <w:r>
        <w:t>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précité, p. 2640). Ce message précise :</w:t>
      </w:r>
    </w:p>
    <w:p>
      <w:r>
        <w:t>« A l’instar des personnes souffrant d’un handicap physique ou mental, celles ayant des difficultés d’apprentissage en raison de leur âge ou connaissant d’autres déficiences intellectuelles ou étant atteints d’une maladie psychique ou</w:t>
      </w:r>
    </w:p>
    <w:p>
      <w:r>
        <w:t>- 13/15 - A/3917/2012 chronique ne sont guère en mesure de remplir les conditions de naturalisation. Il convient de prendre en considération leur situation de manière adéquate » (FF précitée, p. 2646 ad. n° 1.2.2.2).</w:t>
      </w:r>
    </w:p>
    <w:p>
      <w:r>
        <w:t>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w:t>
      </w:r>
    </w:p>
    <w:p>
      <w:r>
        <w:rPr>
          <w:b/>
        </w:rPr>
        <w:t>E. 10</w:t>
      </w:r>
    </w:p>
    <w:p>
      <w:r>
        <w:t>En l'espèce, le SCN avait, durant la procédure de naturalisation, demandé au recourant qu'il passe et réussisse des examens de français atteignant le niveau A2 à l'oral et à l'écrit, conformément à la pratique ayant alors cours. Il apparaît au regard des faits que l'intéressé a non seulement réalisé cette condition, mais qu'il est de plus capable de comprendre ses interlocuteurs et de se faire comprendre par eux dans le cadre de conversations simples en français, comme l'a d'ailleurs constaté le juge délégué lors de l'audience du 10 juin 2013. Bien qu'il ne soit ni âgé, ni atteint dans sa santé physique ou mentale et que sa capacité communicative pourrait être davantage développée, le recourant s'est conformé aux exigences du SCN au moment du dépôt de sa demande. Il peut ainsi être admis que ses connaissances linguistiques sont suffisantes au sens des art. 14 LN et 12 LNat.</w:t>
      </w:r>
    </w:p>
    <w:p>
      <w:r>
        <w:rPr>
          <w:b/>
        </w:rPr>
        <w:t>E. 11</w:t>
      </w:r>
    </w:p>
    <w:p>
      <w:r>
        <w:t>Il convient encore d'examiner la condition d'intégration prévue aux art. 14 let. a LN et 12 let. e LNat sous un angle plus général, la maîtrise de la langue locale ne représentant que l'un des aspects de l'intégration d'un candidat à la naturalisation.</w:t>
      </w:r>
    </w:p>
    <w:p>
      <w:r>
        <w:rPr>
          <w:b/>
        </w:rPr>
        <w:t>E. 12</w:t>
      </w:r>
    </w:p>
    <w:p>
      <w:r>
        <w:t>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(Arrêt du Tribunal fédéral 1D_5/2011 du 12 juin 2012 destiné à la publication, consid. 5.3).</w:t>
      </w:r>
    </w:p>
    <w:p>
      <w:r>
        <w:rPr>
          <w:b/>
        </w:rPr>
        <w:t>E. 13</w:t>
      </w:r>
    </w:p>
    <w:p>
      <w:r>
        <w:t>En l'espèce, s'il ressort du dossier que le recourant fréquente une salle de sport dans laquelle il aide à l'entraînement de jeunes provenant de tout le canton et que ses enfants sont scolarisés à Genève, il n'en demeure pas moins que la quasi- totalité de son réseau de relations tant amicales que professionnelles est composé de personnes originaires de pays arabophones, étant précisé qu'il n'est ici pas question de confession, ni de convictions religieuses, mais uniquement de langue, de culture et de mode de vie.</w:t>
      </w:r>
    </w:p>
    <w:p>
      <w:r>
        <w:t>Il convient d'autre part de retenir que les connaissances du recourant des institutions, de l'histoire et de la géographie suisse et genevoise sont lacunaires</w:t>
      </w:r>
    </w:p>
    <w:p>
      <w:r>
        <w:t>- 14/15 - A/3917/2012 dès lors qu'il n'a répondu correctement qu'à moins de la moitié des questions du protocole « B » pour l'intégration et qu'il ne prend que très peu part à la presse audio-visuelle et à la vie sociale, culturelle et politique suisse et genevoise.</w:t>
      </w:r>
    </w:p>
    <w:p>
      <w:r>
        <w:t>Enfin, le recourant ne parvient pas à motiver son souhait d'obtenir la nationalité suisse, si ce n'est en vantant la stabilité et la sécurité du pays qui l'a accueilli et envers lequel il se sent redevable. Ces arguments sont dénués de pertinence dès lors que lui et sa famille sont déjà au bénéfice d'un permis d'établissement.</w:t>
      </w:r>
    </w:p>
    <w:p>
      <w:r>
        <w:t>Le recourant ne présente ainsi pour ainsi dire que peu d'attaches témoignant de son adaptation au mode de vie genevois et n'est pas suffisamment intégré dans la communauté genevoise au sens large.</w:t>
      </w:r>
    </w:p>
    <w:p>
      <w:r>
        <w:rPr>
          <w:b/>
        </w:rPr>
        <w:t>E. 14</w:t>
      </w:r>
    </w:p>
    <w:p>
      <w:r>
        <w:t>Il ne saurait par conséquent être reproché au Conseil d'Etat, qui n'a pas abusé de son pouvoir d'appréciation en refusant d'accorder aux recourants la naturalisation, d'avoir fait preuve d'arbitraire ou de discrimination.</w:t>
      </w:r>
    </w:p>
    <w:p>
      <w:r>
        <w:rPr>
          <w:b/>
        </w:rPr>
        <w:t>E. 15</w:t>
      </w:r>
    </w:p>
    <w:p>
      <w:r>
        <w:t>Au vu de ce qui précède, le recours sera rejeté.</w:t>
      </w:r>
    </w:p>
    <w:p>
      <w:r>
        <w:t>Dès lors que les enfants mineurs du recourant sont compris dans sa demande de naturalisation, leur sort suit celui de leur père. Ils disposent néanmoins de la possibilité d’introduire une requête autonome dès l’âge de 11 ans révolus, conformément aux art. 15 al. 1 et 2, 33 et 34 LN et 11 LNat.</w:t>
      </w:r>
    </w:p>
    <w:p>
      <w:r>
        <w:t>Aucun émolument ne sera mis à la charge des recourants, la procédure étant gratuite (art. 87 al. 1 LPA ; art. 12 al. 1 du règlement sur les frais, émoluments et indemnités en procédure administrative du 30 juillet 1986 - RFPA - E 5 10.03).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