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ATA/613/2012 vom 11. September 2012</w:t>
      </w:r>
    </w:p>
    <w:p>
      <w:r>
        <w:t>GE Cour de justice, 2012-09-11, FR</w:t>
      </w:r>
    </w:p>
    <w:p>
      <w:r>
        <w:rPr>
          <w:b/>
        </w:rPr>
        <w:t xml:space="preserve">Quelle: </w:t>
      </w:r>
      <w:r>
        <w:t>https://mcp.opencaselaw.ch/entscheid/ge_gerichte_ATA_613_2012</w:t>
      </w:r>
    </w:p>
    <w:p>
      <w:r>
        <w:t>FR: GE_GERICHTE ATA/613/2012 du 11 septembre 2012</w:t>
      </w:r>
    </w:p>
    <w:p>
      <w:r>
        <w:t>IT: GE_GERICHTE ATA/613/2012 del 11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- 3/5 - A/1516/2012</w:t>
      </w:r>
    </w:p>
    <w:p>
      <w:r>
        <w:rPr>
          <w:b/>
        </w:rPr>
        <w:t>E. 2</w:t>
      </w:r>
    </w:p>
    <w:p>
      <w:r>
        <w:t>Le 18 septembre 2008, le Grand Conseil de la République et canton de Genève a modifié la LOJ ainsi que plusieurs dispositions de la LPA, notamment l’art. 86 de cette loi. Ces modifications sont entrées en vigueur le 1er janvier 2009.</w:t>
      </w:r>
    </w:p>
    <w:p>
      <w:r>
        <w:t>Selon cette dernière disposition, la juridiction invite le recourant à faire une avance de frais ou à fournir des sûretés destinées à couvrir les frais de procédure et émolument présumable, et elle en fait dépendre l’examen du recours. Elle fixe à cet effet un délai suffisant. Si l’avance de frais n’est pas faite dans le délai imparti, la juridiction déclare le recours irrecevable.</w:t>
      </w:r>
    </w:p>
    <w:p>
      <w:r>
        <w:t>Ainsi, la novelle du 18 septembre 2008 fait désormais du paiement de l’avance de frais une condition de recevabilité du recours (ATA/476/2009 du 29 septembre 2009).</w:t>
      </w:r>
    </w:p>
    <w:p>
      <w:r>
        <w:rPr>
          <w:b/>
        </w:rPr>
        <w:t>E. 3</w:t>
      </w:r>
    </w:p>
    <w:p>
      <w:r>
        <w:t>La législation genevoise ne comportant pas de règle plus précise quant à la procédure à suivre pour la fixation du montant de l’émolument et du délai de paiement, les juridictions administratives sont libres de s’organiser pour la mise en pratique de cette disposition légale. Toutefois, dans les procédures mises en place pour l’application de l’art. 86 LPA, le principe constitutionnel de la bonne foi, tiré des art. 5 al. 3 et 9 de la Constitution fédérale de la Confédération suisse du 18 avril 1999 (Cst. - RS 101) ainsi que celui du traitement équitable découlant de l’art. 29 al. 1 Cst. doivent être respectés, d’autant plus que l’absence de paiement de l’avance de frais dans les délais est lourde de conséquences pour le justiciable puisqu’elle peut conduire à l’irrecevabilité de son recours.</w:t>
      </w:r>
    </w:p>
    <w:p>
      <w:r>
        <w:t>A rigueur de texte,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w:t>
      </w:r>
    </w:p>
    <w:p>
      <w:r>
        <w:rPr>
          <w:b/>
        </w:rPr>
        <w:t>E. 4</w:t>
      </w:r>
    </w:p>
    <w:p>
      <w:r>
        <w:t>En l’espèce, la société ne conteste pas avoir reçu le courrier que le TAPI lui a adressé le 21 mai 2012 contenant l’invitation à payer l’avance de frais avant le 21 juin 2012. Ce courrier attirait particulièrement son attention sur le fait que le non-paiement de l’avance de frais dans le délai imparti conduirait à l’irrecevabilité du recours. Dès lors, le TAPI n’avait pas l’obligation de lui adresser une lettre de rappel, l’art. 86 LPA ne l’imposant pas.</w:t>
      </w:r>
    </w:p>
    <w:p>
      <w:r>
        <w:t>- 4/5 - A/1516/2012</w:t>
      </w:r>
    </w:p>
    <w:p>
      <w:r>
        <w:t>La recourante n’allègue pas de circonstances particulières qui auraient pu conduire à admettre un paiement tardif auquel elle n’a d’ailleurs pas procédé ou une restitution du délai de paiement, se limitant à mettre en cause un mandataire qui n’est pas constitué dans la procédure. En tout état et selon une jurisprudence constante, le contribuable demeure responsable de la faute ou du manquement du mandataire qu’il a choisi (Arrêt du Tribunal fédéral 1C_494/2011 du 31 juillet 2012, c. 3.2 ; ATA/554/2012 du 21 août 2012; ATA/296/2010 du 4 mai 2010)</w:t>
      </w:r>
    </w:p>
    <w:p>
      <w:r>
        <w:t>Dans ces circonstances, le TAPI ne pouvait que déclarer son recours irrecevable.</w:t>
      </w:r>
    </w:p>
    <w:p>
      <w:r>
        <w:rPr>
          <w:b/>
        </w:rPr>
        <w:t>E. 5</w:t>
      </w:r>
    </w:p>
    <w:p>
      <w:r>
        <w:t>Le recours sera rejeté. Un émolument de CHF 500.-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