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ATA/612/2025 vom 3. Juni 2025</w:t>
      </w:r>
    </w:p>
    <w:p>
      <w:r>
        <w:t>GE Cour de justice, 2025-06-03, FR</w:t>
      </w:r>
    </w:p>
    <w:p>
      <w:r>
        <w:rPr>
          <w:b/>
        </w:rPr>
        <w:t xml:space="preserve">Quelle: </w:t>
      </w:r>
      <w:r>
        <w:t>https://mcp.opencaselaw.ch/entscheid/ge_gerichte_ATA_612_2025</w:t>
      </w:r>
    </w:p>
    <w:p>
      <w:r>
        <w:t>FR: GE_GERICHTE ATA/612/2025 du 3 juin 2025</w:t>
      </w:r>
    </w:p>
    <w:p>
      <w:r>
        <w:t>IT: GE_GERICHTE ATA/612/2025 del 3 giugno 2025</w:t>
      </w:r>
    </w:p>
    <w:p>
      <w:pPr>
        <w:pStyle w:val="Heading2"/>
      </w:pPr>
      <w:r>
        <w:t>Erwägungen</w:t>
      </w:r>
    </w:p>
    <w:p>
      <w:r>
        <w:rPr>
          <w:b/>
        </w:rPr>
        <w:t>E. 5</w:t>
      </w:r>
    </w:p>
    <w:p>
      <w:r>
        <w:t>Les recourants se plaignent d’une violation du principe de l’égalité de traitement. D______ avait vendu à C______ trois appartements en bloc à l’avenue D______ nos 9 à 11 à E______. Or, celle-ci souhaitait vendre un appartement du lot à un particulier.</w:t>
      </w:r>
    </w:p>
    <w:p>
      <w:r>
        <w:rPr>
          <w:b/>
        </w:rPr>
        <w:t>E. 5.1</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t>- 14/16 - A/1833/2023</w:t>
      </w:r>
    </w:p>
    <w:p>
      <w:r>
        <w:rPr>
          <w:b/>
        </w:rPr>
        <w:t>E. 5.2</w:t>
      </w:r>
    </w:p>
    <w:p>
      <w:r>
        <w:t>En l’espèce, les recourants critiquent l’argumentation du TAPI, qui a retenu que la situation était différente de la leur pour deux motifs : il ne s’agissait pas du même immeuble et les recourants n’avaient pas bénéficié d’un accord privé allant dans leur sens. Le raisonnement du TAPI ne prête pas le flanc à la critique. L’immeuble concerné n’est pas le même. L’acquéreur de l’appartement était au bénéfice d’un droit d’emption annoté le 1er juillet 2020, soit antérieurement à la procédure initiée en septembre 2022 qui a conduit à l’homologation de la transaction entre les parties dans la cause A/3192/2022. La situation n’est dès lors pas comparable. De surcroît, les recourants ne peuvent déduire aucun droit à acquérir un logement dans l’immeuble 27 à 29, avenue D______ en raison de négociations qu’a menées l’ASLOCA en lien avec l’immeuble 9 à 11 à E______. Lesdites négociations ne portaient pas sur une situation identique, qu’il s’agisse du nombre d’appartements d’ores et déjà aliénés ou concernés par la réunion à un bloc, en l’occurrence de dix logements. Les recourants considèrent qu’il serait choquant de constater qu’ils n’ont pas pu bénéficier du même sort au motif que D______ SA serait parvenue à les manipuler pour qu’ils ne signent pas la promesse de vente, alors même que des acomptes avaient d’ores et déjà été versés auprès du notaire. Cette problématique relève toutefois du droit privé et est sans incidence sur l’application de la LDTR. Quoi qu’en disent les recourants, les situations sont différentes. Le grief de violation de l’égalité de traitement est infondé. Le recours sera en conséquence rejeté.</w:t>
      </w:r>
    </w:p>
    <w:p>
      <w:r>
        <w:rPr>
          <w:b/>
        </w:rPr>
        <w:t>E. 6</w:t>
      </w:r>
    </w:p>
    <w:p>
      <w:r>
        <w:t>Le prononcé du présent arrêt rend sans objet la requête en restitution de l’effet suspensif.</w:t>
      </w:r>
    </w:p>
    <w:p>
      <w:r>
        <w:rPr>
          <w:b/>
        </w:rPr>
        <w:t>E. 7</w:t>
      </w:r>
    </w:p>
    <w:p>
      <w:r>
        <w:t>Vu l’issue du litige, un émolument de CHF 1'500.- sera mis à la charge des recourants, pris solidairement (art. 87 al. 1 LPA). Des indemnités de procédure seront allouées aux intimées, à la charge solidaire des recourants, soit CHF 1'000.- en faveur de C______ SA, CHF 1'000.- en faveur de D______ SA et CHF 1'000.- en faveur de l’ASLOCA (art. 87 al. 2 LPA).</w:t>
      </w:r>
    </w:p>
    <w:p>
      <w:r>
        <w:t>* * * * *</w:t>
      </w:r>
    </w:p>
    <w:p>
      <w:r>
        <w:t>- 15/16 - A/1833/2023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