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ATA/60/2020 vom 21. Januar 2020</w:t>
      </w:r>
    </w:p>
    <w:p>
      <w:r>
        <w:t>GE Cour de justice, 2020-01-21, FR</w:t>
      </w:r>
    </w:p>
    <w:p>
      <w:r>
        <w:rPr>
          <w:b/>
        </w:rPr>
        <w:t xml:space="preserve">Quelle: </w:t>
      </w:r>
      <w:r>
        <w:t>https://mcp.opencaselaw.ch/entscheid/ge_gerichte_ATA_60_2020</w:t>
      </w:r>
    </w:p>
    <w:p>
      <w:r>
        <w:t>FR: GE_GERICHTE ATA/60/2020 du 21 janvier 2020</w:t>
      </w:r>
    </w:p>
    <w:p>
      <w:r>
        <w:t>IT: GE_GERICHTE ATA/60/2020 del 21 gennaio 2020</w:t>
      </w:r>
    </w:p>
    <w:p>
      <w:pPr>
        <w:pStyle w:val="Heading2"/>
      </w:pPr>
      <w:r>
        <w:t>Erwägungen</w:t>
      </w:r>
    </w:p>
    <w:p>
      <w:r>
        <w:rPr>
          <w:b/>
        </w:rPr>
        <w:t>E. 2</w:t>
      </w:r>
    </w:p>
    <w:p>
      <w:r>
        <w:t>a. Aux termes de l’art. 60 al. 1 let. b de la loi sur la procédure administrative du 12 septembre 1985 (LPA - E 5 10),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t>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n. 2084 ; Pierre MOOR/Étienne POLTIER, Droit administratif, vol. 2, 2011, p. 748 n. 5.7.2.3 ; Thierry TANQUEREL, Manuel de droit administratif, 2018,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w:t>
      </w:r>
    </w:p>
    <w:p>
      <w:r>
        <w:t>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DUBEY/Jean-Baptiste ZUFFEREY, op. cit.,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 135 I 79).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t>- 4/5 - A/4376/2019</w:t>
      </w:r>
    </w:p>
    <w:p>
      <w:r>
        <w:t>e. Dans sa jurisprudence concernant le placement d’un prisonnier en cellule forte ou aux arrêts disciplinaires, compte tenu de la brièveté de la sanction, lorsque le recourant est encore en détention au moment du prononcé de l’arrêt, la chambre administrative fait en principe abstraction de l’exigence de l’intérêt actuel, faute de quoi un telle mesure échapperait systématiquement à son contrôle (ATA/135/2019 du 12 février 2019 consid. 3 ; ATA/1272/2017 précité consid. 2c ; ATA/29/2017 du 17 janvier 2017 consid. 2d ; ATA/118/2015 du 27 janvier 2015 consid. 2c ; ATA/510/2014 du 1er juillet 2014 consid. 3b).</w:t>
      </w:r>
    </w:p>
    <w:p>
      <w:r>
        <w:rPr>
          <w:b/>
        </w:rPr>
        <w:t>E. 3</w:t>
      </w:r>
    </w:p>
    <w:p>
      <w:r>
        <w:t>En l’espèce, le recourant a été libéré et n’est plus détenu à B______, ni dans un autre établissement pénitentiaire genevois ou concordataire.</w:t>
      </w:r>
    </w:p>
    <w:p>
      <w:r>
        <w:t>Aucun élément du dossier ne laisse à penser qu’il serait susceptible d’être incarcéré à nouveau dans un établissement pour mineurs tel que B______.</w:t>
      </w:r>
    </w:p>
    <w:p>
      <w:r>
        <w:t>En application de la jurisprudence précitée et constante de la chambre de céans, il n’y a dès lors aucune raison de passer outre l’exigence de l’intérêt actuel (ATA/555/2018 précité consid. 2f ; ATA/1272/2017 précité consid. 3 ; ATA/594/2017 du 23 mai 2017 ; ATA/29/2017 du 17 janvier 2017 ; ATA/308/2016 du 12 avril 2016 et les références citées).</w:t>
      </w:r>
    </w:p>
    <w:p>
      <w:r>
        <w:t>Vu ce qui précède, le recours sera déclaré irrecevable.</w:t>
      </w:r>
    </w:p>
    <w:p>
      <w:r>
        <w:rPr>
          <w:b/>
        </w:rPr>
        <w:t>E. 4</w:t>
      </w:r>
    </w:p>
    <w:p>
      <w:r>
        <w:t>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