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ATA/60/2014 vom 4. Februar 2014</w:t>
      </w:r>
    </w:p>
    <w:p>
      <w:r>
        <w:t>GE Cour de justice, 2014-02-04, FR</w:t>
      </w:r>
    </w:p>
    <w:p>
      <w:r>
        <w:rPr>
          <w:b/>
        </w:rPr>
        <w:t xml:space="preserve">Quelle: </w:t>
      </w:r>
      <w:r>
        <w:t>https://mcp.opencaselaw.ch/entscheid/ge_gerichte_ATA_60_2014</w:t>
      </w:r>
    </w:p>
    <w:p>
      <w:r>
        <w:t>FR: GE_GERICHTE ATA/60/2014 du 4 février 2014</w:t>
      </w:r>
    </w:p>
    <w:p>
      <w:r>
        <w:t>IT: GE_GERICHTE ATA/60/2014 del 4 febbraio 2014</w:t>
      </w:r>
    </w:p>
    <w:p>
      <w:pPr>
        <w:pStyle w:val="Heading2"/>
      </w:pPr>
      <w:r>
        <w:t>Regeste</w:t>
      </w:r>
    </w:p>
    <w:p>
      <w:r>
        <w:t>Résumé: La vente d'un appartement doit être considérée comme une opération de gestion commerciale, dès lors qu'elle s'inscrit dans le cadre d'une promotion immobilière. La transformation d'un ensemble immobilier aux fins d'en tirer des avantages financiers confère à la totalité des biens concernés, indépendamment de leur provenance, un caractère commercial. Le bénéfice alors réalisé doit être taxé comme revenu de l'activité lucrative indépendante. A cet égard, des éventuelles hésitations de l'administration à l'imposer ne sauraient être considérées comme une assurance de ne pas le faire.</w:t>
      </w:r>
    </w:p>
    <w:p>
      <w:pPr>
        <w:pStyle w:val="Heading2"/>
      </w:pPr>
      <w:r>
        <w:t>Erwägungen</w:t>
      </w:r>
    </w:p>
    <w:p>
      <w:r>
        <w:rPr>
          <w:b/>
        </w:rPr>
        <w:t>E. 12</w:t>
      </w:r>
    </w:p>
    <w:p>
      <w:r>
        <w:t>septembre 1985 - LPA - E 5 10). 2)</w:t>
      </w:r>
    </w:p>
    <w:p>
      <w:r>
        <w:t>Il s’agit de déterminer si l’autorité fiscale intimée était en droit de procéder le 15 juin 2011 à une reformatio in pejus de l’imposition des recourants découlant des taxations des 10 février et 10 mars 2010, en taxant le bénéfice réalisé lors de la vente d’un appartement, le 28 octobre 2008. 3)</w:t>
      </w:r>
    </w:p>
    <w:p>
      <w:r>
        <w:t>En matière cantonale, le département procède à la taxation des impôts sur la base de la déclaration d’impôt et des justificatifs déposés par le contribuable, ainsi que des contrôles et investigations effectués (art. 36 al. 1 LPFisc).</w:t>
      </w:r>
    </w:p>
    <w:p>
      <w:r>
        <w:t>La décision de taxation doit fixer les éléments imposables, les éléments déterminants pour le taux d’imposition, le montant de l’impôt et, le cas échéant, la période pour laquelle l’impôt est prélevé (art. 36 al. 2 LPFisc).</w:t>
      </w:r>
    </w:p>
    <w:p>
      <w:r>
        <w:t>Aux termes de l’art. 39 LPFisc, le contribuable peut adresser au département une réclamation écrite contre la décision d’assujettissement ou de taxation, dans les trente jours qui suivent sa notification (al. 1) ; le contribuable qui a été taxé d’office peut déposer une réclamation contre cette taxation uniquement pour le motif qu’elle est manifestement inexacte ; la réclamation doit être motivée et indiquer, le cas échéant, les moyens de preuve (al. 2).</w:t>
      </w:r>
    </w:p>
    <w:p>
      <w:r>
        <w:t>La procédure de réclamation a effet suspensif. Dès lors qu’une décision fiscale est susceptible d’être attaquée par un moyen de droit ordinaire, elle n’entre pas en force (X. OBERSON, Droit fiscal, 2012, n° 38 p. 538 et 559).</w:t>
      </w:r>
    </w:p>
    <w:p>
      <w:r>
        <w:t>L’administration jouit des mêmes compétences dans la procédure de réclamation que dans celle de taxation (art. 42 al. 1 LPFisc). Elle peut déterminer à nouveau tous les éléments de l’impôt et, après avoir entendu le contribuable, également modifier la taxation au désavantage de celui-ci (art. 43 al. 1 LPFisc). Il en est de même des juridictions de recours (art. 50 al. 2 et 54 LPFisc). 4)</w:t>
      </w:r>
    </w:p>
    <w:p>
      <w:r>
        <w:t>En l’espèce, les recourants ont élevé réclamation contre le premier bordereau de taxation notifié le 10 février 2010. Ce dernier n’est donc pas entré en</w:t>
      </w:r>
    </w:p>
    <w:p>
      <w:r>
        <w:t>- 10/14 - A/2441/2011 force. Celui adressé le 10 mars 2010 ne visait qu’à comptabiliser un dégrèvement en raison de la répartition intercantonale due au changement de domicile des contribuables, sans prendre en considération le courrier reçu le 8 mars 2010 par l’AFC-GE. L’administration a ainsi modifié la taxation ICC 2008 des contribuables dans le cadre d’une procédure de réclamation contre le bordereau communiqué le 10 février 2010. Le 11 février 2011, les recourants ont été informés de l’intention de l’AFC-GE de rectifier en leur défaveur leur imposition en tenant compte du bénéfice réalisé sur la vente immobilière du 28 octobre 2008. Un délai leur a alors été imparti afin de faire valoir leur point de vue à ce sujet. La procédure a donc été respectée. 5)</w:t>
      </w:r>
    </w:p>
    <w:p>
      <w:r>
        <w:t>Dans ces circonstances, il s’agit de déterminer si l’AFC-GE pouvait effectivement taxer le bénéfice réalisé sur la vente immobilière du 28 octobre 2008, c’est-à-dire le considérer comme un revenu de l’activité indépendante. 6)</w:t>
      </w:r>
    </w:p>
    <w:p>
      <w:r>
        <w:t>Le 1er janvier 2010 est entrée en vigueur la loi sur l’imposition des personnes physiques du 27 septembre 2009 (LIPP - D 3 08), dont l’art. 69 abroge les cinq anciennes lois sur l’imposition des personnes physiques (aLIPP I à V), en particulier la loi sur l’imposition des personnes physiques - Impôt sur le revenu (revenu imposable) du 22 septembre 2000 (aLIPP-IV).</w:t>
      </w:r>
    </w:p>
    <w:p>
      <w:r>
        <w:t>L’art. 72 al. 1 LIPP dispose que cette loi s’applique pour la première fois pour les impôts de la période fiscale 2010, et que les impôts relatifs aux périodes fiscales antérieures demeurent régis par les dispositions de l’ancien droit, même après l’entrée en vigueur de la nouvelle loi.</w:t>
      </w:r>
    </w:p>
    <w:p>
      <w:r>
        <w:t>En l’espèce, le recours concerne la période fiscale 2008. Il s’ensuit que la présente cause est régie par les dispositions de l’ancien droit, dans leur teneur de 2008, année de la taxation litigieuse. 7)</w:t>
      </w:r>
    </w:p>
    <w:p>
      <w:r>
        <w:t>Selon l’art. 3 al. 2 aLIPP-IV, les bénéfices en capital provenant de l’aliénation, de la réalisation, de la réévaluation comptable ou du transfert dans la fortune privée ou dans une entreprise ou un établissement stable sis à l’étranger d’éléments de la fortune commerciale font partie du produit de l’activité lucrative indépendante. Un tel produit est taxé au titre de l’impôt sur le revenu (art. 3 al. 1 aLIPP-IV).</w:t>
      </w:r>
    </w:p>
    <w:p>
      <w:r>
        <w:t>En revanche, les gains en capital réalisés lors de l’aliénation d’éléments de la fortune privée sont exonérés de l’impôt, les règles sur l’imposition des gains immobiliers étant réservée (art. 10 let. i aLIPP-IV). 8)</w:t>
      </w:r>
    </w:p>
    <w:p>
      <w:r>
        <w:t>La fortune commerciale comprend tous les éléments de fortune qui servent entièrement ou de manière prépondérante à l’activité indépendante (art. 3 al. 3 aLIPP-IV).</w:t>
      </w:r>
    </w:p>
    <w:p>
      <w:r>
        <w:t>- 11/14 - A/2441/2011</w:t>
      </w:r>
    </w:p>
    <w:p>
      <w:r>
        <w:t>Outre les biens directement affectés à l’exercice de l’activité commerciale (immeubles utilisés comme bureaux, fonds de commerce, etc.), sont considérées comme relevant d’une activité lucrative indépendante, les opérations (et notamment les ventes) portant sur des éléments de la fortune, en particulier sur des titres et des immeubles, dans la mesure où elles dépassent la simple administration de la fortune (art. 3 al. 1 aLIPP-IV). 9)</w:t>
      </w:r>
    </w:p>
    <w:p>
      <w:r>
        <w:t>D’ordinaire, l’analyse de ces critères s’opère en relation avec l’activité du contribuable lui-même.</w:t>
      </w:r>
    </w:p>
    <w:p>
      <w:r>
        <w:t>La situation est toutefois différente lorsque les biens litigieux ont passé dans son patrimoine par la voie successorale. 10) a. En effet, au moment d’un décès, si des immeubles appartiennent à la fortune commerciale du de cujus, ils conservent leur caractère commercial, en application du principe de la rémanence, tant et aussi longtemps que le patrimoine commercial n’est pas liquidé, opération qui implique un décompte fiscal – dans le calcul de l’impôt sur le revenu – des réserves latentes existantes sur les immeubles concernés. Si le patrimoine commercial n’est pas liquidé par la succession et que l’activité commerciale liée à la vente et à la gestion des immeubles est reprise par un successeur du défunt, la vente ultérieure des immeubles est taxée comme produit de l’activité indépendante de celui-ci (art. 3 al. 1 à 3 aLIPP-IV).</w:t>
      </w:r>
    </w:p>
    <w:p>
      <w:r>
        <w:t>b. Si ces mêmes immeubles relèvent de la fortune privée du de cujus, ils conservent ce statut dans le patrimoine des héritiers (sauf si ceux-ci décident d’exercer ensuite une activité professionnelle dans la vente et la gestion de ces immeubles). Leur aliénation ultérieure n’est alors pas soumise à l’impôt sur le revenu dans la personne des héritiers, mais uniquement à celui sur les gains immobiliers (art. 3 al. 1 à 3 a contrario aLIPP-IV et 80 LCP). 11) La « gestion commerciale (c’est-à-dire la présence d’un ou de plusieurs des critères admis par la jurisprudence) d’immeubles qui, au départ, pouvaient apparaître comme faisant partie de la fortune privée du contribuable confère un caractère commercial à l’ensemble de l’opération dont le produit devient imposable. C’est évidemment au moment où est réalisée l’opération imposable qu’intervient sa qualification » (ASA 67 97 ss ; Arrêt du Tribunal fédéral 2C_834/2012 du 19 avril 2013 ; ATA/331/2013 du 28 mai 2013 consid. 3 ss ; ATA/117/2012 du 28 février 2012). 12) En l’espèce, il ressort du dossier que les notaires ayant participé ou instrumenté la vente immobilière du 28 octobre 2008 la considéraient tous deux comme une promotion immobilière, justifiant une dispense de consignation au titre de l’IBGI. Pour eux, il était indubitable que le vendeur agissait à titre professionnel. La totalité des bâtiments existants, dont a hérité le recourant, a été transformée afin d’être comprise dans un ensemble immobilier de douze</w:t>
      </w:r>
    </w:p>
    <w:p>
      <w:r>
        <w:t>- 12/14 - A/2441/2011 appartements, constitué en PPE. L’objectif admis était d’en vendre certains et d’en louer d’autres afin d’en tirer des avantages financiers. L’immeuble ayant servi auparavant de domicile aux recourants ne peut donc plus être déterminé en tant que tel aujourd’hui. Ils n’y logent d’ailleurs plus depuis le courant de l’année 2006, date à laquelle ils se sont établis dans le canton de Fribourg. Les recourants ne contestent pas non plus le caractère commercial de la promotion immobilière réalisée. En effet, seul le montant comptabilisé au titre de bénéfice réalisé sur la seconde vente immobilière du 31 octobre 2008 a été discuté, et non pas l’imposition en tant que telle. Dans ce contexte et vu les principes sus rappelés, chaque vente de parts de la PPE doit être traitée de manière identique, soit comme opération de gestion commerciale.</w:t>
      </w:r>
    </w:p>
    <w:p>
      <w:r>
        <w:t>Dès lors, l’AFC-GE avait la compétence de taxer le bénéfice réalisé sur la vente immobilière du 28 octobre 2008 comme elle l’a fait dans le cadre de la procédure de réclamation contre le bordereau de taxation du 10 février 2010. 13) Les recourants considèrent qu’en procédant de la sorte, l’AFC-GE aurait violé une promesse de considérer l’opération susvisée comme de la gestion de la fortune privée. 14) Selon l’art. 9 Cst., toute personne a le droit d’être traitée par les organes de l’Etat sans arbitraire et conformément aux règles de la bonne foi.</w:t>
      </w:r>
    </w:p>
    <w:p>
      <w:r>
        <w:t>Le principe de la bonne foi régit aussi les rapports entre les autorités fiscales et les contribuables ; le droit fiscal est toutefois dominé par le principe de la légalité, de telle sorte que le principe de la bonne foi ne saurait avoir qu’une influence limitée, surtout s’il vient à entrer en conflit avec le principe de la légalité (131 II 627 consid. 6.1 ; Arrêt du Tribunal fédéral 2C_99/2010 du 6 septembre 2010 consid. 4.1).</w:t>
      </w:r>
    </w:p>
    <w:p>
      <w:r>
        <w:t>Selon la jurisprudence, un renseignement ou une décision erronés de l’administration peuvent obliger celle-ci à consentir à un administré un avantage contraire à la réglementation en vigueur, à condition a) que l’autorité soit intervenue dans une situation concrète à l’égard de personnes déterminées, b) qu’elle ait agi ou soit censée avoir agi dans les limites de ses compétences et c) que l’administré n’ait pas pu se rendre compte immédiatement de l’inexactitude du renseignement obtenu. Il faut encore qu’il se soit fondé sur les assurances ou le comportement dont il se prévaut pour d) prendre des dispositions auxquelles il ne saurait renoncer sans subir de préjudice et e) que la réglementation n’ait pas changé depuis le moment où l’assurance a été donnée (ATF 137 I 69 consid. 2.5.1 ; 131 II 627 consid. 6.1 ; 129 I 161 consid. 4.1).</w:t>
      </w:r>
    </w:p>
    <w:p>
      <w:r>
        <w:t>En l’occurrence, les recourants font valoir une confirmation orale de l’AFC-GE de ne pas taxer le bénéfice réalisé sur la vente immobilière du 28 octobre 2008, reçue lors d’un entretien téléphonique, précédant la notification</w:t>
      </w:r>
    </w:p>
    <w:p>
      <w:r>
        <w:t>- 13/14 - A/2441/2011 du bordereau de taxation du 10 février 2010. Faute de pouvoir démontrer leurs dires, ils allèguent diverses conjectures basées sur leur interprétation des actes de l’intimée. Toutefois, l’AFC-GE a dû relancer à plusieurs reprises les recourants afin d’obtenir l’ensemble des renseignements nécessaires concernant les ventes immobilières des 28 et 31 octobre 2008. Les contribuables ne pouvaient ignorer que leur projet de construction était considéré comme une promotion immobilière, visant un certain rendement. En dépit de leurs allégations, ils n’ont pas saisi l’opportunité de se déterminer sur la reformatio in pejus envisagée. Les éventuelles hésitations de l’AFC-GE à taxer le bénéfice réalisé sur la vente immobilière du 28 octobre 2008 ne sauraient donc être considérées comme une assurance de ne pas le faire. A ce stade, il n’apparaît pas que les recourants aient pu prendre des mesures leur causant un préjudice avant d’avoir obtenu une décision de taxation finale.</w:t>
      </w:r>
    </w:p>
    <w:p>
      <w:r>
        <w:t>Il s’ensuit que les conditions nécessaires à l’application du principe de la bonne foi ne sont pas remplies in casu. Ce grief doit être écarté. 15) Au vu de ce qui précède, le recours sera rejeté. Un émolument de CHF 1’500.- sera mis à la charge des recourants, conjointement et solidairement (art. 87 al. 1 LPA). Aucune indemnité de procédure ne leur sera allouée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