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ATA/607/2016 vom 12. Juli 2016</w:t>
      </w:r>
    </w:p>
    <w:p>
      <w:r>
        <w:t>GE Cour de justice, 2016-07-12, FR</w:t>
      </w:r>
    </w:p>
    <w:p>
      <w:r>
        <w:rPr>
          <w:b/>
        </w:rPr>
        <w:t xml:space="preserve">Quelle: </w:t>
      </w:r>
      <w:r>
        <w:t>https://mcp.opencaselaw.ch/entscheid/ge_gerichte_ATA_607_2016</w:t>
      </w:r>
    </w:p>
    <w:p>
      <w:r>
        <w:t>FR: GE_GERICHTE ATA/607/2016 du 12 juillet 2016</w:t>
      </w:r>
    </w:p>
    <w:p>
      <w:r>
        <w:t>IT: GE_GERICHTE ATA/607/2016 del 12 luglio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w:t>
      </w:r>
    </w:p>
    <w:p>
      <w:r>
        <w:t>- 3/4 - A/1483/2016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rPr>
          <w:b/>
        </w:rPr>
        <w:t>E. 3</w:t>
      </w:r>
    </w:p>
    <w:p>
      <w:r>
        <w:t>En l’espèce, la recourante n’adresse aucune critique à l’encontre de la décision du Scom, motivée par le fait que les deux personnes concernées ne sont pas inscrites au RC et n’engagent pas valablement l’entreprise de par leur seule signature. Elle ne prend aucune conclusion en annulation de ladite décision, se contentant de demander si une dérogation serait possible pour une période limitée. Aucune pièce n’est par ailleurs fournie en regard de l’allégation de différence de traitement avec d’autres employées. Il n’est dès lors pas possible de déterminer de manière certaine l’intention de la recourante.</w:t>
      </w:r>
    </w:p>
    <w:p>
      <w:r>
        <w:t>Bien que dûment invitée à réparer les vices de son acte initial dans le délai de recours échéant au plus tôt le 3 juin 2016 et au plus tard le 9 juin 2016 – si le courrier du 10 mai a été expédié le jour de la réception de la décision querellée –, la recourante n’a donné aucune suite, faisant de surcroît montre de désintérêt pour la cause qu’elle a introduite (art. 22 et 24 LPA).</w:t>
      </w:r>
    </w:p>
    <w:p>
      <w:r>
        <w:rPr>
          <w:b/>
        </w:rPr>
        <w:t>E. 4</w:t>
      </w:r>
    </w:p>
    <w:p>
      <w:r>
        <w:t>Au vu de ce qui précède, le recours sera déclaré irrecevable.</w:t>
      </w:r>
    </w:p>
    <w:p>
      <w:r>
        <w:t>Vu l’issue du litige, un émolument de CHF 500.-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